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E3" w:rsidRPr="00A52404" w:rsidRDefault="002754D6" w:rsidP="00815CE3">
      <w:pPr>
        <w:pStyle w:val="Titre1"/>
        <w:spacing w:before="1200" w:after="360" w:line="480" w:lineRule="auto"/>
        <w:ind w:left="0" w:firstLine="0"/>
        <w:jc w:val="center"/>
        <w:rPr>
          <w:rFonts w:ascii="Arial" w:hAnsi="Arial" w:cs="Arial"/>
          <w:b/>
          <w:bCs/>
          <w:color w:val="000066"/>
          <w:sz w:val="72"/>
          <w:szCs w:val="72"/>
          <w:lang w:val="fr-FR"/>
        </w:rPr>
      </w:pPr>
      <w:r w:rsidRPr="00A52404">
        <w:rPr>
          <w:rFonts w:ascii="Arial" w:hAnsi="Arial" w:cs="Arial"/>
          <w:b/>
          <w:bCs/>
          <w:color w:val="000066"/>
          <w:sz w:val="72"/>
          <w:szCs w:val="72"/>
          <w:lang w:val="fr-FR"/>
        </w:rPr>
        <w:t>Normes d’accessibilité Canada</w:t>
      </w:r>
      <w:r w:rsidRPr="00A52404">
        <w:rPr>
          <w:rFonts w:ascii="Arial" w:hAnsi="Arial" w:cs="Arial"/>
          <w:b/>
          <w:bCs/>
          <w:color w:val="000066"/>
          <w:sz w:val="72"/>
          <w:szCs w:val="72"/>
          <w:lang w:val="fr-FR"/>
        </w:rPr>
        <w:br/>
        <w:t>Assemblée publique annuelle 2022</w:t>
      </w:r>
      <w:r w:rsidRPr="00A52404">
        <w:rPr>
          <w:rFonts w:ascii="Arial" w:hAnsi="Arial" w:cs="Arial"/>
          <w:b/>
          <w:bCs/>
          <w:color w:val="000066"/>
          <w:sz w:val="72"/>
          <w:szCs w:val="72"/>
          <w:lang w:val="fr-FR"/>
        </w:rPr>
        <w:br/>
        <w:t>La collaboration, au cœur de notre mandat</w:t>
      </w:r>
    </w:p>
    <w:p w:rsidR="000066E3" w:rsidRPr="00A52404" w:rsidRDefault="00815CE3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lang w:val="fr-FR"/>
        </w:rPr>
        <w:br w:type="page"/>
      </w:r>
      <w:r w:rsidR="002754D6"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Un mandat de collaboration</w:t>
      </w:r>
    </w:p>
    <w:p w:rsidR="000066E3" w:rsidRPr="00A52404" w:rsidRDefault="002754D6" w:rsidP="00A52404">
      <w:pPr>
        <w:pStyle w:val="Titre2"/>
        <w:numPr>
          <w:ilvl w:val="0"/>
          <w:numId w:val="1"/>
        </w:numPr>
        <w:spacing w:line="360" w:lineRule="auto"/>
        <w:ind w:left="1413" w:hanging="843"/>
        <w:rPr>
          <w:rFonts w:ascii="Arial" w:cs="Arial"/>
          <w:color w:val="000000"/>
          <w:lang w:val="fr-FR"/>
        </w:rPr>
      </w:pPr>
      <w:r w:rsidRPr="00A52404">
        <w:rPr>
          <w:rFonts w:ascii="Arial" w:cs="Arial"/>
          <w:color w:val="000000"/>
          <w:lang w:val="fr-FR"/>
        </w:rPr>
        <w:t xml:space="preserve">Notre mandat en vertu de la </w:t>
      </w:r>
      <w:r w:rsidRPr="00A52404">
        <w:rPr>
          <w:rFonts w:ascii="Arial" w:cs="Arial"/>
          <w:i/>
          <w:iCs/>
          <w:color w:val="000000"/>
          <w:u w:val="single"/>
          <w:lang w:val="fr-FR"/>
        </w:rPr>
        <w:t>Loi canadienne sur l</w:t>
      </w:r>
      <w:r w:rsidRPr="00A52404">
        <w:rPr>
          <w:rFonts w:ascii="Arial" w:cs="Arial"/>
          <w:i/>
          <w:iCs/>
          <w:color w:val="000000"/>
          <w:u w:val="single"/>
          <w:lang w:val="fr-FR"/>
        </w:rPr>
        <w:t>’</w:t>
      </w:r>
      <w:r w:rsidRPr="00A52404">
        <w:rPr>
          <w:rFonts w:ascii="Arial" w:cs="Arial"/>
          <w:i/>
          <w:iCs/>
          <w:color w:val="000000"/>
          <w:u w:val="single"/>
          <w:lang w:val="fr-FR"/>
        </w:rPr>
        <w:t>accessibilit</w:t>
      </w:r>
      <w:r w:rsidRPr="00A52404">
        <w:rPr>
          <w:rFonts w:ascii="Arial" w:cs="Arial"/>
          <w:i/>
          <w:iCs/>
          <w:color w:val="000000"/>
          <w:u w:val="single"/>
          <w:lang w:val="fr-FR"/>
        </w:rPr>
        <w:t>é</w:t>
      </w:r>
      <w:r w:rsidRPr="00A52404">
        <w:rPr>
          <w:rFonts w:ascii="Arial" w:cs="Arial"/>
          <w:i/>
          <w:iCs/>
          <w:color w:val="000000"/>
          <w:u w:val="single"/>
          <w:lang w:val="fr-FR"/>
        </w:rPr>
        <w:t xml:space="preserve"> </w:t>
      </w:r>
      <w:r w:rsidRPr="00A52404">
        <w:rPr>
          <w:rFonts w:ascii="Arial" w:cs="Arial"/>
          <w:color w:val="000000"/>
          <w:lang w:val="fr-FR"/>
        </w:rPr>
        <w:t>(la Loi) est d</w:t>
      </w:r>
      <w:r w:rsidRPr="00A52404">
        <w:rPr>
          <w:rFonts w:ascii="Arial" w:cs="Arial"/>
          <w:color w:val="000000"/>
          <w:lang w:val="fr-FR"/>
        </w:rPr>
        <w:t>’</w:t>
      </w:r>
      <w:r w:rsidRPr="00A52404">
        <w:rPr>
          <w:rFonts w:ascii="Arial" w:cs="Arial"/>
          <w:color w:val="000000"/>
          <w:lang w:val="fr-FR"/>
        </w:rPr>
        <w:t xml:space="preserve">aider </w:t>
      </w:r>
      <w:r w:rsidRPr="00A52404">
        <w:rPr>
          <w:rFonts w:ascii="Arial" w:cs="Arial"/>
          <w:color w:val="000000"/>
          <w:lang w:val="fr-FR"/>
        </w:rPr>
        <w:t>à</w:t>
      </w:r>
      <w:r w:rsidRPr="00A52404">
        <w:rPr>
          <w:rFonts w:ascii="Arial" w:cs="Arial"/>
          <w:color w:val="000000"/>
          <w:lang w:val="fr-FR"/>
        </w:rPr>
        <w:t xml:space="preserve"> r</w:t>
      </w:r>
      <w:r w:rsidRPr="00A52404">
        <w:rPr>
          <w:rFonts w:ascii="Arial" w:cs="Arial"/>
          <w:color w:val="000000"/>
          <w:lang w:val="fr-FR"/>
        </w:rPr>
        <w:t>é</w:t>
      </w:r>
      <w:r w:rsidRPr="00A52404">
        <w:rPr>
          <w:rFonts w:ascii="Arial" w:cs="Arial"/>
          <w:color w:val="000000"/>
          <w:lang w:val="fr-FR"/>
        </w:rPr>
        <w:t>aliser un Canada exempt d</w:t>
      </w:r>
      <w:r w:rsidRPr="00A52404">
        <w:rPr>
          <w:rFonts w:ascii="Arial" w:cs="Arial"/>
          <w:color w:val="000000"/>
          <w:lang w:val="fr-FR"/>
        </w:rPr>
        <w:t>’</w:t>
      </w:r>
      <w:r w:rsidRPr="00A52404">
        <w:rPr>
          <w:rFonts w:ascii="Arial" w:cs="Arial"/>
          <w:color w:val="000000"/>
          <w:lang w:val="fr-FR"/>
        </w:rPr>
        <w:t>obstacles au plus tard le 1</w:t>
      </w:r>
      <w:r w:rsidRPr="00A52404">
        <w:rPr>
          <w:rFonts w:ascii="Arial" w:cs="Arial"/>
          <w:color w:val="000000"/>
          <w:vertAlign w:val="superscript"/>
          <w:lang w:val="fr-FR"/>
        </w:rPr>
        <w:t xml:space="preserve">er </w:t>
      </w:r>
      <w:r w:rsidRPr="00A52404">
        <w:rPr>
          <w:rFonts w:ascii="Arial" w:cs="Arial"/>
          <w:color w:val="000000"/>
          <w:lang w:val="fr-FR"/>
        </w:rPr>
        <w:t xml:space="preserve">janvier 2040. </w:t>
      </w:r>
    </w:p>
    <w:p w:rsidR="000066E3" w:rsidRPr="00A52404" w:rsidRDefault="002754D6" w:rsidP="00A52404">
      <w:pPr>
        <w:pStyle w:val="Titre2"/>
        <w:numPr>
          <w:ilvl w:val="0"/>
          <w:numId w:val="1"/>
        </w:numPr>
        <w:spacing w:line="360" w:lineRule="auto"/>
        <w:ind w:left="1413" w:hanging="843"/>
        <w:rPr>
          <w:rFonts w:ascii="Arial" w:cs="Arial"/>
          <w:color w:val="000000"/>
          <w:lang w:val="fr-FR"/>
        </w:rPr>
      </w:pPr>
      <w:r w:rsidRPr="00A52404">
        <w:rPr>
          <w:rFonts w:ascii="Arial" w:cs="Arial"/>
          <w:color w:val="000000"/>
          <w:lang w:val="fr-FR"/>
        </w:rPr>
        <w:t xml:space="preserve">Pour accomplir notre mandat, nous devons travailler avec les autres : </w:t>
      </w:r>
    </w:p>
    <w:p w:rsidR="000066E3" w:rsidRPr="00A52404" w:rsidRDefault="002754D6" w:rsidP="00A52404">
      <w:pPr>
        <w:pStyle w:val="Titre3"/>
        <w:numPr>
          <w:ilvl w:val="0"/>
          <w:numId w:val="11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 xml:space="preserve">Les diverses communautés de personnes en situation de handicap – pour mettre en pratique le « Rien sans nous »  </w:t>
      </w:r>
    </w:p>
    <w:p w:rsidR="000066E3" w:rsidRPr="00A52404" w:rsidRDefault="002754D6" w:rsidP="00A52404">
      <w:pPr>
        <w:pStyle w:val="Titre3"/>
        <w:numPr>
          <w:ilvl w:val="0"/>
          <w:numId w:val="11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D’autres organisations fédérales – pour collaborer à la mise en œuvre de la Loi</w:t>
      </w:r>
    </w:p>
    <w:p w:rsidR="000066E3" w:rsidRPr="00A52404" w:rsidRDefault="002754D6" w:rsidP="00A52404">
      <w:pPr>
        <w:pStyle w:val="Titre3"/>
        <w:numPr>
          <w:ilvl w:val="0"/>
          <w:numId w:val="11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 xml:space="preserve">Les provinces et les territoires – pour collaborer et coordonner les efforts en matière d’accessibilité  </w:t>
      </w:r>
    </w:p>
    <w:p w:rsidR="000066E3" w:rsidRPr="00A52404" w:rsidRDefault="002754D6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Les diverses communautés de personnes en situation de handicap (1/2)</w:t>
      </w:r>
    </w:p>
    <w:p w:rsidR="007F4E8A" w:rsidRDefault="002754D6" w:rsidP="00A52404">
      <w:pPr>
        <w:pStyle w:val="Titre2"/>
        <w:numPr>
          <w:ilvl w:val="0"/>
          <w:numId w:val="12"/>
        </w:numPr>
        <w:spacing w:line="360" w:lineRule="auto"/>
        <w:ind w:left="1418" w:hanging="851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L’approche du « Rien sans nous » guide notre travail. Nous valorisons l’expertise des personnes en situation de handicap.</w:t>
      </w:r>
    </w:p>
    <w:p w:rsidR="000066E3" w:rsidRPr="00A52404" w:rsidRDefault="002754D6" w:rsidP="007F4E8A">
      <w:pPr>
        <w:pStyle w:val="Titre3"/>
        <w:numPr>
          <w:ilvl w:val="0"/>
          <w:numId w:val="13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Nous avons tenu notre première assemblée publique annuelle en 2021.</w:t>
      </w:r>
    </w:p>
    <w:p w:rsidR="000066E3" w:rsidRPr="00A52404" w:rsidRDefault="002754D6" w:rsidP="00A52404">
      <w:pPr>
        <w:pStyle w:val="Titre3"/>
        <w:numPr>
          <w:ilvl w:val="0"/>
          <w:numId w:val="13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Nous avons mené notre première consultation publique en 2020 pour éclairer nos priorités jusqu’en 2022.</w:t>
      </w:r>
    </w:p>
    <w:p w:rsidR="00A52404" w:rsidRPr="00A52404" w:rsidRDefault="002754D6" w:rsidP="00A52404">
      <w:pPr>
        <w:pStyle w:val="Titre3"/>
        <w:numPr>
          <w:ilvl w:val="0"/>
          <w:numId w:val="13"/>
        </w:numPr>
        <w:spacing w:line="360" w:lineRule="auto"/>
        <w:ind w:left="1985" w:hanging="567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Nous avons organi</w:t>
      </w:r>
      <w:bookmarkStart w:id="0" w:name="_GoBack"/>
      <w:bookmarkEnd w:id="0"/>
      <w:r w:rsidRPr="00A52404">
        <w:rPr>
          <w:rFonts w:ascii="Arial" w:hAnsi="Arial" w:cs="Arial"/>
          <w:color w:val="000000"/>
          <w:lang w:val="fr-FR"/>
        </w:rPr>
        <w:t>sé deux tables rondes avec des jeunes en 2022 pour alimenter nos activités de recherche et nos normes.</w:t>
      </w:r>
    </w:p>
    <w:p w:rsidR="000066E3" w:rsidRPr="00A52404" w:rsidRDefault="00815CE3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lang w:val="fr-FR"/>
        </w:rPr>
        <w:br w:type="page"/>
      </w:r>
      <w:r w:rsidR="002754D6"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 xml:space="preserve">Les diverses communautés de personnes en situation de handicap (2/2) </w:t>
      </w:r>
    </w:p>
    <w:p w:rsidR="000066E3" w:rsidRPr="00A52404" w:rsidRDefault="002754D6" w:rsidP="00A52404">
      <w:pPr>
        <w:pStyle w:val="Titre4"/>
        <w:numPr>
          <w:ilvl w:val="0"/>
          <w:numId w:val="5"/>
        </w:numPr>
        <w:spacing w:line="36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 xml:space="preserve">Environ le quart de notre personnel s’identifie comme ayant un handicap. </w:t>
      </w:r>
    </w:p>
    <w:p w:rsidR="000066E3" w:rsidRPr="00A52404" w:rsidRDefault="002754D6" w:rsidP="00A52404">
      <w:pPr>
        <w:pStyle w:val="Titre4"/>
        <w:numPr>
          <w:ilvl w:val="0"/>
          <w:numId w:val="5"/>
        </w:numPr>
        <w:spacing w:line="36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Près de la moitié des membres de nos comités techniques sont des experts ayant une expérience vécue.</w:t>
      </w:r>
    </w:p>
    <w:p w:rsidR="000066E3" w:rsidRPr="00A52404" w:rsidRDefault="002754D6" w:rsidP="00A52404">
      <w:pPr>
        <w:pStyle w:val="Titre4"/>
        <w:numPr>
          <w:ilvl w:val="0"/>
          <w:numId w:val="5"/>
        </w:numPr>
        <w:spacing w:line="36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 xml:space="preserve">Nous rencontrons continuellement diverses organisations de personnes en situation de handicap au pays. </w:t>
      </w:r>
    </w:p>
    <w:p w:rsidR="000066E3" w:rsidRPr="00A52404" w:rsidRDefault="002754D6" w:rsidP="00A52404">
      <w:pPr>
        <w:pStyle w:val="Titre2"/>
        <w:numPr>
          <w:ilvl w:val="0"/>
          <w:numId w:val="6"/>
        </w:numPr>
        <w:spacing w:line="360" w:lineRule="auto"/>
        <w:ind w:left="1983" w:hanging="570"/>
        <w:rPr>
          <w:rFonts w:ascii="Arial" w:hAnsi="Arial" w:cs="Arial"/>
          <w:color w:val="000000"/>
          <w:sz w:val="36"/>
          <w:szCs w:val="40"/>
          <w:lang w:val="fr-FR"/>
        </w:rPr>
      </w:pPr>
      <w:r w:rsidRPr="00A52404">
        <w:rPr>
          <w:rFonts w:ascii="Arial" w:hAnsi="Arial" w:cs="Arial"/>
          <w:color w:val="000000"/>
          <w:sz w:val="36"/>
          <w:szCs w:val="40"/>
          <w:lang w:val="fr-FR"/>
        </w:rPr>
        <w:t>Nous avons tendu la main à des organismes autochtones nationales pour encourager les organisations et les personnes à présenter des propositions de recherche et à poser leur candidature pour participer à nos comités techniques.</w:t>
      </w:r>
    </w:p>
    <w:p w:rsidR="000066E3" w:rsidRPr="00A52404" w:rsidRDefault="00815CE3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lang w:val="fr-FR"/>
        </w:rPr>
        <w:br w:type="page"/>
      </w:r>
      <w:r w:rsidR="002754D6"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Autres organisations fédérales</w:t>
      </w:r>
    </w:p>
    <w:p w:rsidR="000066E3" w:rsidRPr="00A52404" w:rsidRDefault="002754D6" w:rsidP="00A52404">
      <w:pPr>
        <w:pStyle w:val="Titre3"/>
        <w:numPr>
          <w:ilvl w:val="0"/>
          <w:numId w:val="5"/>
        </w:numPr>
        <w:spacing w:line="360" w:lineRule="auto"/>
        <w:ind w:left="1413" w:hanging="843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Nous travaillons avec d’autres agences et ministères fédéraux pour mettre la Loi en œuvre.</w:t>
      </w:r>
    </w:p>
    <w:p w:rsidR="000066E3" w:rsidRPr="00A52404" w:rsidRDefault="002754D6" w:rsidP="00A52404">
      <w:pPr>
        <w:pStyle w:val="Titre3"/>
        <w:numPr>
          <w:ilvl w:val="0"/>
          <w:numId w:val="5"/>
        </w:numPr>
        <w:spacing w:line="360" w:lineRule="auto"/>
        <w:ind w:left="1413" w:hanging="843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Il y a plusieurs organisations fédérales qui ont un rôle à jouer en vertu de la Loi.</w:t>
      </w:r>
    </w:p>
    <w:p w:rsidR="000066E3" w:rsidRPr="00A52404" w:rsidRDefault="002754D6" w:rsidP="00A52404">
      <w:pPr>
        <w:pStyle w:val="Titre4"/>
        <w:numPr>
          <w:ilvl w:val="0"/>
          <w:numId w:val="7"/>
        </w:numPr>
        <w:spacing w:line="360" w:lineRule="auto"/>
        <w:ind w:left="1983" w:hanging="570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Le dirigeant principal de l’accessibilité</w:t>
      </w:r>
    </w:p>
    <w:p w:rsidR="000066E3" w:rsidRPr="00A52404" w:rsidRDefault="002754D6" w:rsidP="00A52404">
      <w:pPr>
        <w:pStyle w:val="Titre4"/>
        <w:numPr>
          <w:ilvl w:val="0"/>
          <w:numId w:val="7"/>
        </w:numPr>
        <w:spacing w:line="360" w:lineRule="auto"/>
        <w:ind w:left="1983" w:hanging="570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Le commissaire à l’accessibilité (membre de la Commission canadienne des droits de la personne)</w:t>
      </w:r>
    </w:p>
    <w:p w:rsidR="000066E3" w:rsidRPr="00A52404" w:rsidRDefault="002754D6" w:rsidP="00A52404">
      <w:pPr>
        <w:pStyle w:val="Titre4"/>
        <w:numPr>
          <w:ilvl w:val="0"/>
          <w:numId w:val="7"/>
        </w:numPr>
        <w:spacing w:line="360" w:lineRule="auto"/>
        <w:ind w:left="1983" w:hanging="570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La direction Canada accessible du ministère de l’Emploi et du Développement social du Canada</w:t>
      </w:r>
    </w:p>
    <w:p w:rsidR="000066E3" w:rsidRPr="00A52404" w:rsidRDefault="002754D6" w:rsidP="00A52404">
      <w:pPr>
        <w:pStyle w:val="Titre4"/>
        <w:numPr>
          <w:ilvl w:val="0"/>
          <w:numId w:val="7"/>
        </w:numPr>
        <w:spacing w:line="360" w:lineRule="auto"/>
        <w:ind w:left="1983" w:hanging="570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L’Office des transports du Canada</w:t>
      </w:r>
    </w:p>
    <w:p w:rsidR="00A52404" w:rsidRPr="00A52404" w:rsidRDefault="002754D6" w:rsidP="00A52404">
      <w:pPr>
        <w:pStyle w:val="Titre4"/>
        <w:numPr>
          <w:ilvl w:val="0"/>
          <w:numId w:val="7"/>
        </w:numPr>
        <w:spacing w:line="360" w:lineRule="auto"/>
        <w:ind w:left="1983" w:hanging="570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Le Conseil de la radiodiffusion et des télécommunications canadiennes.</w:t>
      </w:r>
    </w:p>
    <w:p w:rsidR="000066E3" w:rsidRPr="00A52404" w:rsidRDefault="002754D6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Les provinces et territoires (1/3)</w:t>
      </w:r>
    </w:p>
    <w:p w:rsidR="000066E3" w:rsidRPr="00A52404" w:rsidRDefault="002754D6" w:rsidP="00A52404">
      <w:pPr>
        <w:pStyle w:val="Titre2"/>
        <w:numPr>
          <w:ilvl w:val="0"/>
          <w:numId w:val="8"/>
        </w:numPr>
        <w:spacing w:line="48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Les provinces et territoires ont aussi un mandat en matière d’accessibilité et le travail a déjà commencé.</w:t>
      </w:r>
    </w:p>
    <w:p w:rsidR="000066E3" w:rsidRPr="00A52404" w:rsidRDefault="002754D6" w:rsidP="00A52404">
      <w:pPr>
        <w:pStyle w:val="Titre2"/>
        <w:numPr>
          <w:ilvl w:val="0"/>
          <w:numId w:val="8"/>
        </w:numPr>
        <w:spacing w:line="48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Nous voulons uniformiser les normes à travers le Canada grâce aux activités suivantes :</w:t>
      </w:r>
    </w:p>
    <w:p w:rsidR="000066E3" w:rsidRPr="00A52404" w:rsidRDefault="002754D6" w:rsidP="00A52404">
      <w:pPr>
        <w:pStyle w:val="Titre3"/>
        <w:numPr>
          <w:ilvl w:val="0"/>
          <w:numId w:val="9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Développer des relations.</w:t>
      </w:r>
    </w:p>
    <w:p w:rsidR="000066E3" w:rsidRPr="00A52404" w:rsidRDefault="002754D6" w:rsidP="00A52404">
      <w:pPr>
        <w:pStyle w:val="Titre3"/>
        <w:numPr>
          <w:ilvl w:val="0"/>
          <w:numId w:val="9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Signer des ententes pour formaliser nos relations.</w:t>
      </w:r>
    </w:p>
    <w:p w:rsidR="000066E3" w:rsidRPr="00A52404" w:rsidRDefault="002754D6" w:rsidP="00A52404">
      <w:pPr>
        <w:pStyle w:val="Titre3"/>
        <w:numPr>
          <w:ilvl w:val="0"/>
          <w:numId w:val="9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Encourager les provinces et territoires à adopter nos normes.</w:t>
      </w:r>
    </w:p>
    <w:p w:rsidR="000066E3" w:rsidRPr="00A52404" w:rsidRDefault="00815CE3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lang w:val="fr-FR"/>
        </w:rPr>
        <w:br w:type="page"/>
      </w:r>
      <w:r w:rsidR="002754D6"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Les provinces et territoires (2/3)</w:t>
      </w:r>
    </w:p>
    <w:p w:rsidR="000066E3" w:rsidRPr="00A52404" w:rsidRDefault="002754D6" w:rsidP="00A22CE4">
      <w:pPr>
        <w:pStyle w:val="Titre2"/>
        <w:numPr>
          <w:ilvl w:val="0"/>
          <w:numId w:val="5"/>
        </w:numPr>
        <w:spacing w:line="48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Ces ententes cherchent à maximiser les efforts individuels et collectifs. Nous avons des ententes avec les entités suivantes :</w:t>
      </w:r>
    </w:p>
    <w:p w:rsidR="000066E3" w:rsidRPr="00A52404" w:rsidRDefault="002754D6" w:rsidP="00A22CE4">
      <w:pPr>
        <w:pStyle w:val="Titre3"/>
        <w:numPr>
          <w:ilvl w:val="0"/>
          <w:numId w:val="7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Le ministère du Développement social et de la Réduction de la pauvreté de la Colombie-Britannique</w:t>
      </w:r>
    </w:p>
    <w:p w:rsidR="000066E3" w:rsidRPr="00A52404" w:rsidRDefault="002754D6" w:rsidP="00A22CE4">
      <w:pPr>
        <w:pStyle w:val="Titre3"/>
        <w:numPr>
          <w:ilvl w:val="0"/>
          <w:numId w:val="7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Le ministère du Procureur général et responsable du logement de la Colombie-Britannique</w:t>
      </w:r>
    </w:p>
    <w:p w:rsidR="000066E3" w:rsidRPr="00A52404" w:rsidRDefault="002754D6" w:rsidP="00A22CE4">
      <w:pPr>
        <w:pStyle w:val="Titre3"/>
        <w:numPr>
          <w:ilvl w:val="0"/>
          <w:numId w:val="7"/>
        </w:numPr>
        <w:spacing w:line="480" w:lineRule="auto"/>
        <w:ind w:left="1983" w:hanging="570"/>
        <w:rPr>
          <w:rFonts w:ascii="Arial" w:hAnsi="Arial" w:cs="Arial"/>
          <w:color w:val="000000"/>
          <w:lang w:val="fr-FR"/>
        </w:rPr>
      </w:pPr>
      <w:r w:rsidRPr="00A52404">
        <w:rPr>
          <w:rFonts w:ascii="Arial" w:hAnsi="Arial" w:cs="Arial"/>
          <w:color w:val="000000"/>
          <w:lang w:val="fr-FR"/>
        </w:rPr>
        <w:t>Le ministère des Services sociaux de la Saskatchewan</w:t>
      </w:r>
    </w:p>
    <w:p w:rsidR="000066E3" w:rsidRPr="00A52404" w:rsidRDefault="002754D6" w:rsidP="00A22CE4">
      <w:pPr>
        <w:pStyle w:val="Titre2"/>
        <w:numPr>
          <w:ilvl w:val="0"/>
          <w:numId w:val="5"/>
        </w:numPr>
        <w:spacing w:line="48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A52404">
        <w:rPr>
          <w:rFonts w:ascii="Arial" w:hAnsi="Arial" w:cs="Arial"/>
          <w:color w:val="000000"/>
          <w:sz w:val="40"/>
          <w:szCs w:val="40"/>
          <w:lang w:val="fr-FR"/>
        </w:rPr>
        <w:t>L'harmonisation permet de réduire les approches disparates en matière d'accessibilité.</w:t>
      </w:r>
    </w:p>
    <w:p w:rsidR="000066E3" w:rsidRPr="00A52404" w:rsidRDefault="00815CE3" w:rsidP="00B35B9D">
      <w:pPr>
        <w:pStyle w:val="Titre2"/>
        <w:spacing w:line="360" w:lineRule="auto"/>
        <w:ind w:left="0" w:firstLine="0"/>
        <w:rPr>
          <w:rFonts w:ascii="Arial" w:hAnsi="Arial" w:cs="Arial"/>
          <w:b/>
          <w:sz w:val="56"/>
          <w:szCs w:val="56"/>
          <w:lang w:val="fr-FR"/>
        </w:rPr>
      </w:pPr>
      <w:r w:rsidRPr="00A52404">
        <w:rPr>
          <w:lang w:val="fr-FR"/>
        </w:rPr>
        <w:br w:type="page"/>
      </w:r>
      <w:r w:rsidR="002754D6" w:rsidRPr="00A52404">
        <w:rPr>
          <w:rFonts w:ascii="Arial" w:hAnsi="Arial" w:cs="Arial"/>
          <w:b/>
          <w:sz w:val="56"/>
          <w:szCs w:val="56"/>
          <w:lang w:val="fr-FR"/>
        </w:rPr>
        <w:lastRenderedPageBreak/>
        <w:t>Les provinces et territoires (3/3)</w:t>
      </w:r>
    </w:p>
    <w:p w:rsidR="000066E3" w:rsidRPr="00FF313F" w:rsidRDefault="002754D6" w:rsidP="00FF313F">
      <w:pPr>
        <w:pStyle w:val="Titre2"/>
        <w:numPr>
          <w:ilvl w:val="0"/>
          <w:numId w:val="1"/>
        </w:numPr>
        <w:spacing w:line="36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FF313F">
        <w:rPr>
          <w:rFonts w:ascii="Arial" w:hAnsi="Arial" w:cs="Arial"/>
          <w:color w:val="000000"/>
          <w:sz w:val="40"/>
          <w:szCs w:val="40"/>
          <w:lang w:val="fr-FR"/>
        </w:rPr>
        <w:t>Il y a des avantages pour les gouvernements, notamment :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Une capacité améliorée;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Des coûts inférieurs;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Une plus grande crédibilité;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Un accès aux recherches;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Un progrès plus rapide; et</w:t>
      </w:r>
    </w:p>
    <w:p w:rsidR="000066E3" w:rsidRPr="00FF313F" w:rsidRDefault="002754D6" w:rsidP="00FF313F">
      <w:pPr>
        <w:pStyle w:val="Titre3"/>
        <w:numPr>
          <w:ilvl w:val="0"/>
          <w:numId w:val="10"/>
        </w:numPr>
        <w:spacing w:line="360" w:lineRule="auto"/>
        <w:ind w:left="1983" w:hanging="570"/>
        <w:rPr>
          <w:rFonts w:ascii="Arial" w:hAnsi="Arial" w:cs="Arial"/>
          <w:color w:val="000000"/>
          <w:lang w:val="fr-FR"/>
        </w:rPr>
      </w:pPr>
      <w:r w:rsidRPr="00FF313F">
        <w:rPr>
          <w:rFonts w:ascii="Arial" w:hAnsi="Arial" w:cs="Arial"/>
          <w:color w:val="000000"/>
          <w:lang w:val="fr-FR"/>
        </w:rPr>
        <w:t>Les entreprises profitent de l’harmonisation.</w:t>
      </w:r>
    </w:p>
    <w:p w:rsidR="000066E3" w:rsidRPr="00FF313F" w:rsidRDefault="002754D6" w:rsidP="00FF313F">
      <w:pPr>
        <w:pStyle w:val="Titre2"/>
        <w:numPr>
          <w:ilvl w:val="0"/>
          <w:numId w:val="1"/>
        </w:numPr>
        <w:spacing w:line="360" w:lineRule="auto"/>
        <w:ind w:left="1413" w:hanging="843"/>
        <w:rPr>
          <w:rFonts w:ascii="Arial" w:hAnsi="Arial" w:cs="Arial"/>
          <w:color w:val="000000"/>
          <w:sz w:val="40"/>
          <w:szCs w:val="40"/>
          <w:lang w:val="fr-FR"/>
        </w:rPr>
      </w:pPr>
      <w:r w:rsidRPr="00FF313F">
        <w:rPr>
          <w:rFonts w:ascii="Arial" w:hAnsi="Arial" w:cs="Arial"/>
          <w:color w:val="000000"/>
          <w:sz w:val="40"/>
          <w:szCs w:val="40"/>
          <w:lang w:val="fr-FR"/>
        </w:rPr>
        <w:t>L’avantage pour les personnes en situation de handicap? Une expérience cohérente en matière d’accessibilité d’un océan à l’autre.</w:t>
      </w:r>
    </w:p>
    <w:p w:rsidR="000066E3" w:rsidRPr="00FF313F" w:rsidRDefault="00815CE3" w:rsidP="00FF313F">
      <w:pPr>
        <w:spacing w:before="1440" w:after="360" w:line="480" w:lineRule="auto"/>
        <w:ind w:left="3600"/>
        <w:rPr>
          <w:rFonts w:ascii="Arial" w:hAnsi="Arial" w:cs="Arial"/>
          <w:b/>
          <w:color w:val="000066"/>
          <w:sz w:val="96"/>
          <w:szCs w:val="96"/>
          <w:lang w:val="fr-FR"/>
        </w:rPr>
      </w:pPr>
      <w:r w:rsidRPr="00FF313F">
        <w:rPr>
          <w:rFonts w:hAnsi="Arial"/>
          <w:sz w:val="40"/>
          <w:szCs w:val="40"/>
          <w:lang w:val="fr-FR"/>
        </w:rPr>
        <w:br w:type="page"/>
      </w:r>
      <w:r w:rsidR="002754D6" w:rsidRPr="00FF313F">
        <w:rPr>
          <w:rFonts w:ascii="Arial" w:hAnsi="Arial" w:cs="Arial"/>
          <w:b/>
          <w:color w:val="000066"/>
          <w:sz w:val="96"/>
          <w:szCs w:val="96"/>
          <w:lang w:val="fr-FR"/>
        </w:rPr>
        <w:lastRenderedPageBreak/>
        <w:t>Merci!</w:t>
      </w:r>
      <w:r w:rsidR="002754D6" w:rsidRPr="00FF313F">
        <w:rPr>
          <w:rFonts w:ascii="Arial" w:hAnsi="Arial" w:cs="Arial"/>
          <w:b/>
          <w:color w:val="000066"/>
          <w:sz w:val="96"/>
          <w:szCs w:val="96"/>
          <w:lang w:val="fr-FR"/>
        </w:rPr>
        <w:br/>
        <w:t>Des questions?</w:t>
      </w:r>
    </w:p>
    <w:p w:rsidR="002754D6" w:rsidRPr="00A52404" w:rsidRDefault="002754D6" w:rsidP="00FF313F">
      <w:pPr>
        <w:pStyle w:val="Titre2"/>
        <w:spacing w:line="480" w:lineRule="auto"/>
        <w:ind w:left="1440" w:firstLine="0"/>
        <w:rPr>
          <w:rFonts w:ascii="Arial" w:cs="Arial"/>
          <w:b/>
          <w:bCs/>
          <w:color w:val="253D98"/>
          <w:sz w:val="44"/>
          <w:szCs w:val="44"/>
          <w:u w:val="single"/>
          <w:lang w:val="fr-FR"/>
        </w:rPr>
      </w:pPr>
      <w:r w:rsidRPr="00A52404">
        <w:rPr>
          <w:rFonts w:ascii="Arial" w:cs="Arial"/>
          <w:b/>
          <w:bCs/>
          <w:color w:val="253D98"/>
          <w:sz w:val="44"/>
          <w:szCs w:val="44"/>
          <w:lang w:val="fr-FR"/>
        </w:rPr>
        <w:t xml:space="preserve">Suivez-nous sur </w:t>
      </w:r>
      <w:hyperlink r:id="rId7" w:history="1">
        <w:r w:rsidRPr="00962690">
          <w:rPr>
            <w:rStyle w:val="Lienhypertexte"/>
            <w:rFonts w:ascii="Arial" w:eastAsia="Times New Roman" w:cs="Arial"/>
            <w:color w:val="3333FF"/>
            <w:sz w:val="44"/>
            <w:szCs w:val="44"/>
            <w:lang w:val="fr-FR"/>
          </w:rPr>
          <w:t>Twitter</w:t>
        </w:r>
      </w:hyperlink>
      <w:r w:rsidRPr="00A52404">
        <w:rPr>
          <w:rFonts w:ascii="Arial" w:eastAsia="Times New Roman" w:cs="Arial"/>
          <w:color w:val="201F1E"/>
          <w:sz w:val="44"/>
          <w:szCs w:val="44"/>
          <w:lang w:val="fr-FR"/>
        </w:rPr>
        <w:t>,</w:t>
      </w:r>
      <w:r w:rsidRPr="00A52404">
        <w:rPr>
          <w:rFonts w:ascii="Arial" w:eastAsia="Times New Roman" w:cs="Arial"/>
          <w:color w:val="201F1E"/>
          <w:sz w:val="44"/>
          <w:szCs w:val="44"/>
          <w:lang w:val="fr-FR"/>
        </w:rPr>
        <w:t> </w:t>
      </w:r>
      <w:hyperlink r:id="rId8" w:history="1">
        <w:r w:rsidRPr="00962690">
          <w:rPr>
            <w:rStyle w:val="Lienhypertexte"/>
            <w:rFonts w:ascii="Arial" w:eastAsia="Times New Roman" w:cs="Arial"/>
            <w:color w:val="3333FF"/>
            <w:sz w:val="44"/>
            <w:szCs w:val="44"/>
            <w:lang w:val="fr-FR"/>
          </w:rPr>
          <w:t>Facebook</w:t>
        </w:r>
      </w:hyperlink>
      <w:r w:rsidRPr="00A52404">
        <w:rPr>
          <w:rFonts w:ascii="Arial" w:eastAsia="Times New Roman" w:cs="Arial"/>
          <w:color w:val="201F1E"/>
          <w:sz w:val="44"/>
          <w:szCs w:val="44"/>
          <w:u w:val="single"/>
          <w:lang w:val="fr-FR"/>
        </w:rPr>
        <w:t xml:space="preserve"> </w:t>
      </w:r>
      <w:r w:rsidRPr="00A52404">
        <w:rPr>
          <w:rFonts w:ascii="Arial" w:eastAsia="Times New Roman" w:cs="Arial"/>
          <w:color w:val="201F1E"/>
          <w:sz w:val="44"/>
          <w:szCs w:val="44"/>
          <w:lang w:val="fr-FR"/>
        </w:rPr>
        <w:t>et</w:t>
      </w:r>
      <w:r w:rsidRPr="00A52404">
        <w:rPr>
          <w:rFonts w:ascii="Arial" w:eastAsia="Times New Roman" w:cs="Arial"/>
          <w:color w:val="201F1E"/>
          <w:sz w:val="44"/>
          <w:szCs w:val="44"/>
          <w:lang w:val="fr-FR"/>
        </w:rPr>
        <w:t> </w:t>
      </w:r>
      <w:hyperlink r:id="rId9" w:history="1">
        <w:r w:rsidRPr="00962690">
          <w:rPr>
            <w:rStyle w:val="Lienhypertexte"/>
            <w:rFonts w:ascii="Arial" w:eastAsia="Times New Roman" w:cs="Arial"/>
            <w:color w:val="3333FF"/>
            <w:sz w:val="44"/>
            <w:szCs w:val="44"/>
            <w:lang w:val="fr-FR"/>
          </w:rPr>
          <w:t>LinkedIn</w:t>
        </w:r>
      </w:hyperlink>
      <w:r w:rsidRPr="00A52404">
        <w:rPr>
          <w:rFonts w:ascii="Arial" w:cs="Arial"/>
          <w:b/>
          <w:bCs/>
          <w:color w:val="253D98"/>
          <w:sz w:val="44"/>
          <w:szCs w:val="44"/>
          <w:lang w:val="fr-FR"/>
        </w:rPr>
        <w:br/>
      </w:r>
      <w:r w:rsidRPr="00962690">
        <w:rPr>
          <w:rFonts w:ascii="Arial" w:cs="Arial"/>
          <w:b/>
          <w:bCs/>
          <w:color w:val="3333FF"/>
          <w:sz w:val="44"/>
          <w:szCs w:val="44"/>
          <w:u w:val="single"/>
          <w:lang w:val="fr-FR"/>
        </w:rPr>
        <w:t>accessible.canada.ca/contact</w:t>
      </w:r>
    </w:p>
    <w:sectPr w:rsidR="002754D6" w:rsidRPr="00A52404" w:rsidSect="00815CE3">
      <w:foot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D6" w:rsidRDefault="002754D6" w:rsidP="00815CE3">
      <w:pPr>
        <w:spacing w:after="0" w:line="240" w:lineRule="auto"/>
      </w:pPr>
      <w:r>
        <w:separator/>
      </w:r>
    </w:p>
  </w:endnote>
  <w:endnote w:type="continuationSeparator" w:id="0">
    <w:p w:rsidR="002754D6" w:rsidRDefault="002754D6" w:rsidP="0081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1769616900"/>
      <w:docPartObj>
        <w:docPartGallery w:val="Page Numbers (Top of Page)"/>
        <w:docPartUnique/>
      </w:docPartObj>
    </w:sdtPr>
    <w:sdtEndPr/>
    <w:sdtContent>
      <w:p w:rsidR="00815CE3" w:rsidRPr="00815CE3" w:rsidRDefault="00815CE3">
        <w:pPr>
          <w:pStyle w:val="Pieddepage"/>
          <w:jc w:val="right"/>
          <w:rPr>
            <w:rFonts w:ascii="Arial" w:hAnsi="Arial" w:cs="Arial"/>
            <w:sz w:val="24"/>
            <w:szCs w:val="24"/>
          </w:rPr>
        </w:pPr>
        <w:r w:rsidRPr="00815CE3">
          <w:rPr>
            <w:rFonts w:ascii="Arial" w:hAnsi="Arial" w:cs="Arial"/>
            <w:sz w:val="24"/>
            <w:szCs w:val="24"/>
          </w:rPr>
          <w:t xml:space="preserve">Page </w: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815CE3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F4E8A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815CE3">
          <w:rPr>
            <w:rFonts w:ascii="Arial" w:hAnsi="Arial" w:cs="Arial"/>
            <w:sz w:val="24"/>
            <w:szCs w:val="24"/>
          </w:rPr>
          <w:t xml:space="preserve"> of </w: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815CE3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F4E8A">
          <w:rPr>
            <w:rFonts w:ascii="Arial" w:hAnsi="Arial" w:cs="Arial"/>
            <w:b/>
            <w:bCs/>
            <w:noProof/>
            <w:sz w:val="24"/>
            <w:szCs w:val="24"/>
          </w:rPr>
          <w:t>9</w:t>
        </w:r>
        <w:r w:rsidRPr="00815CE3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:rsidR="00815CE3" w:rsidRDefault="00815C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D6" w:rsidRDefault="002754D6" w:rsidP="00815CE3">
      <w:pPr>
        <w:spacing w:after="0" w:line="240" w:lineRule="auto"/>
      </w:pPr>
      <w:r>
        <w:separator/>
      </w:r>
    </w:p>
  </w:footnote>
  <w:footnote w:type="continuationSeparator" w:id="0">
    <w:p w:rsidR="002754D6" w:rsidRDefault="002754D6" w:rsidP="0081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C460E"/>
    <w:lvl w:ilvl="0">
      <w:numFmt w:val="bullet"/>
      <w:lvlText w:val="*"/>
      <w:lvlJc w:val="left"/>
    </w:lvl>
  </w:abstractNum>
  <w:abstractNum w:abstractNumId="1" w15:restartNumberingAfterBreak="0">
    <w:nsid w:val="11B61B02"/>
    <w:multiLevelType w:val="hybridMultilevel"/>
    <w:tmpl w:val="86808238"/>
    <w:lvl w:ilvl="0" w:tplc="F2182DC4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E513E"/>
    <w:multiLevelType w:val="hybridMultilevel"/>
    <w:tmpl w:val="1C56981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C4105"/>
    <w:multiLevelType w:val="hybridMultilevel"/>
    <w:tmpl w:val="17D225A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3"/>
    <w:rsid w:val="000066E3"/>
    <w:rsid w:val="002754D6"/>
    <w:rsid w:val="007F4E8A"/>
    <w:rsid w:val="00815CE3"/>
    <w:rsid w:val="008E6CBD"/>
    <w:rsid w:val="00962690"/>
    <w:rsid w:val="00A22CE4"/>
    <w:rsid w:val="00A52404"/>
    <w:rsid w:val="00B35B9D"/>
    <w:rsid w:val="00D702E6"/>
    <w:rsid w:val="00FE491D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1713C"/>
  <w14:defaultImageDpi w14:val="0"/>
  <w15:docId w15:val="{627D42A4-C221-43F0-A957-FAF51F4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 w:cs="Times New Roman"/>
      <w:kern w:val="24"/>
      <w:sz w:val="56"/>
      <w:szCs w:val="56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 w:cs="Times New Roman"/>
      <w:kern w:val="24"/>
      <w:sz w:val="48"/>
      <w:szCs w:val="48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kern w:val="24"/>
      <w:sz w:val="40"/>
      <w:szCs w:val="40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unhideWhenUsed/>
    <w:rsid w:val="00815CE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5CE3"/>
  </w:style>
  <w:style w:type="paragraph" w:styleId="Pieddepage">
    <w:name w:val="footer"/>
    <w:basedOn w:val="Normal"/>
    <w:link w:val="PieddepageCar"/>
    <w:uiPriority w:val="99"/>
    <w:unhideWhenUsed/>
    <w:rsid w:val="00815CE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CE3"/>
  </w:style>
  <w:style w:type="character" w:styleId="Lienhypertexte">
    <w:name w:val="Hyperlink"/>
    <w:basedOn w:val="Policepardfaut"/>
    <w:uiPriority w:val="99"/>
    <w:unhideWhenUsed/>
    <w:rsid w:val="00FF3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rmesAcces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NormesAcces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43185364/ad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Jean-Francois, Huguette HM [NC]</dc:creator>
  <cp:keywords/>
  <dc:description/>
  <cp:lastModifiedBy>Sophie Senghor</cp:lastModifiedBy>
  <cp:revision>5</cp:revision>
  <dcterms:created xsi:type="dcterms:W3CDTF">2022-09-09T16:46:00Z</dcterms:created>
  <dcterms:modified xsi:type="dcterms:W3CDTF">2022-09-14T19:26:00Z</dcterms:modified>
</cp:coreProperties>
</file>