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BD20" w14:textId="201845D5" w:rsidR="00916694" w:rsidRDefault="00916694" w:rsidP="008C3F9D">
      <w:pPr>
        <w:pStyle w:val="Heading1"/>
        <w:jc w:val="center"/>
      </w:pPr>
      <w:r>
        <w:t xml:space="preserve">A </w:t>
      </w:r>
      <w:r w:rsidR="009E2AF6">
        <w:t>m</w:t>
      </w:r>
      <w:r>
        <w:t xml:space="preserve">odel </w:t>
      </w:r>
      <w:r w:rsidR="009E2AF6">
        <w:t>s</w:t>
      </w:r>
      <w:r>
        <w:t xml:space="preserve">tandard </w:t>
      </w:r>
      <w:r w:rsidR="006B21DE">
        <w:t>on</w:t>
      </w:r>
      <w:r w:rsidR="0061439B">
        <w:t xml:space="preserve"> </w:t>
      </w:r>
      <w:r w:rsidR="009E2AF6">
        <w:t>e</w:t>
      </w:r>
      <w:r w:rsidR="0061439B">
        <w:t>mployment</w:t>
      </w:r>
    </w:p>
    <w:p w14:paraId="1D4E1FF6" w14:textId="5D6CC75F" w:rsidR="009F03BC" w:rsidRPr="002C6661" w:rsidRDefault="009F03BC" w:rsidP="002C6661">
      <w:pPr>
        <w:pStyle w:val="Heading2"/>
      </w:pPr>
      <w:r w:rsidRPr="002C6661">
        <w:t>Summary</w:t>
      </w:r>
    </w:p>
    <w:p w14:paraId="0B96409A" w14:textId="46121280" w:rsidR="00260A05" w:rsidRDefault="009F03BC" w:rsidP="00BC3E88">
      <w:r w:rsidRPr="00DA2DEC">
        <w:t xml:space="preserve">During their employment journey, </w:t>
      </w:r>
      <w:r>
        <w:t>people</w:t>
      </w:r>
      <w:r w:rsidRPr="00DA2DEC">
        <w:t xml:space="preserve"> with disabilities </w:t>
      </w:r>
      <w:r>
        <w:t xml:space="preserve">can </w:t>
      </w:r>
      <w:r w:rsidRPr="00DA2DEC">
        <w:t xml:space="preserve">encounter </w:t>
      </w:r>
      <w:r>
        <w:t>many</w:t>
      </w:r>
      <w:r w:rsidRPr="00DA2DEC">
        <w:t xml:space="preserve"> barriers to accessibility and inclusion in the work environment</w:t>
      </w:r>
      <w:r w:rsidR="00280893">
        <w:t>.</w:t>
      </w:r>
      <w:r>
        <w:t xml:space="preserve"> </w:t>
      </w:r>
      <w:r w:rsidR="00260A05" w:rsidRPr="00260A05">
        <w:t>The goal of this standard is to address work-related barriers caused by both individual actions and systems.</w:t>
      </w:r>
    </w:p>
    <w:p w14:paraId="3C656E02" w14:textId="77777777" w:rsidR="00260A05" w:rsidRDefault="00916694" w:rsidP="00BC3E88">
      <w:r>
        <w:t xml:space="preserve">This </w:t>
      </w:r>
      <w:r w:rsidR="009F03BC">
        <w:t>s</w:t>
      </w:r>
      <w:r>
        <w:t xml:space="preserve">tandard </w:t>
      </w:r>
      <w:r w:rsidR="0061439B">
        <w:t xml:space="preserve">envisions a work </w:t>
      </w:r>
      <w:r w:rsidR="00CD1892">
        <w:t>environment</w:t>
      </w:r>
      <w:r w:rsidR="0061439B">
        <w:t xml:space="preserve"> that is</w:t>
      </w:r>
      <w:r w:rsidR="00260A05">
        <w:t>:</w:t>
      </w:r>
    </w:p>
    <w:p w14:paraId="3B40E5DC" w14:textId="5E3BC103" w:rsidR="00260A05" w:rsidRDefault="0061439B" w:rsidP="00E9504F">
      <w:pPr>
        <w:pStyle w:val="ListParagraph"/>
        <w:numPr>
          <w:ilvl w:val="0"/>
          <w:numId w:val="29"/>
        </w:numPr>
      </w:pPr>
      <w:r>
        <w:t xml:space="preserve">accessible, </w:t>
      </w:r>
    </w:p>
    <w:p w14:paraId="3C28AA8B" w14:textId="3568789E" w:rsidR="00260A05" w:rsidRDefault="0061439B" w:rsidP="00E9504F">
      <w:pPr>
        <w:pStyle w:val="ListParagraph"/>
        <w:numPr>
          <w:ilvl w:val="0"/>
          <w:numId w:val="29"/>
        </w:numPr>
      </w:pPr>
      <w:r>
        <w:t>incl</w:t>
      </w:r>
      <w:r w:rsidR="00D20EED">
        <w:t xml:space="preserve">usive, </w:t>
      </w:r>
    </w:p>
    <w:p w14:paraId="71B71A0F" w14:textId="220236F8" w:rsidR="003B41CB" w:rsidRDefault="00D20EED" w:rsidP="003B41CB">
      <w:pPr>
        <w:pStyle w:val="ListParagraph"/>
      </w:pPr>
      <w:r>
        <w:t>barrier-free</w:t>
      </w:r>
      <w:r w:rsidR="00E127CE">
        <w:t>,</w:t>
      </w:r>
      <w:r w:rsidR="00961D52">
        <w:t xml:space="preserve"> and</w:t>
      </w:r>
    </w:p>
    <w:p w14:paraId="49EC35F5" w14:textId="028B1A07" w:rsidR="00BC3E88" w:rsidRDefault="00961D52" w:rsidP="00E9504F">
      <w:pPr>
        <w:pStyle w:val="ListParagraph"/>
      </w:pPr>
      <w:r>
        <w:t>free of discrimination</w:t>
      </w:r>
      <w:r w:rsidR="009F03BC">
        <w:t>.</w:t>
      </w:r>
    </w:p>
    <w:p w14:paraId="5C714899" w14:textId="7438489D" w:rsidR="00916694" w:rsidRDefault="005B432A" w:rsidP="00B57C4E">
      <w:r>
        <w:t xml:space="preserve">Like </w:t>
      </w:r>
      <w:r>
        <w:rPr>
          <w:iCs/>
        </w:rPr>
        <w:t>a</w:t>
      </w:r>
      <w:r w:rsidR="00916694">
        <w:rPr>
          <w:iCs/>
        </w:rPr>
        <w:t xml:space="preserve">ll of </w:t>
      </w:r>
      <w:r w:rsidR="00916694">
        <w:t>Accessibility Standards Canada’s standards</w:t>
      </w:r>
      <w:r>
        <w:t xml:space="preserve">, this </w:t>
      </w:r>
      <w:r w:rsidR="003B41CB">
        <w:t xml:space="preserve">one contributes </w:t>
      </w:r>
      <w:proofErr w:type="gramStart"/>
      <w:r w:rsidR="003B41CB">
        <w:t xml:space="preserve">to </w:t>
      </w:r>
      <w:r>
        <w:t xml:space="preserve"> </w:t>
      </w:r>
      <w:r w:rsidR="00916694">
        <w:t>a</w:t>
      </w:r>
      <w:proofErr w:type="gramEnd"/>
      <w:r w:rsidR="00916694">
        <w:t xml:space="preserve"> Canada without barriers by 2040. It supports </w:t>
      </w:r>
      <w:hyperlink r:id="rId9" w:history="1">
        <w:r w:rsidR="002F3059" w:rsidRPr="002F3059">
          <w:rPr>
            <w:rStyle w:val="Hyperlink"/>
          </w:rPr>
          <w:t>our mandate</w:t>
        </w:r>
      </w:hyperlink>
      <w:r w:rsidR="002F3059">
        <w:t xml:space="preserve"> as well as </w:t>
      </w:r>
      <w:r w:rsidR="00916694">
        <w:t xml:space="preserve">the </w:t>
      </w:r>
      <w:hyperlink r:id="rId10" w:history="1">
        <w:r w:rsidR="00916694" w:rsidRPr="00B14254">
          <w:rPr>
            <w:rStyle w:val="Hyperlink"/>
            <w:i/>
            <w:iCs/>
          </w:rPr>
          <w:t>Accessible Canada Act</w:t>
        </w:r>
      </w:hyperlink>
      <w:r w:rsidR="00BC3E88">
        <w:t xml:space="preserve">. It </w:t>
      </w:r>
      <w:r w:rsidR="00916694">
        <w:t>is based on</w:t>
      </w:r>
      <w:r w:rsidR="00493FDB">
        <w:t xml:space="preserve"> the</w:t>
      </w:r>
      <w:r w:rsidR="00916694">
        <w:t xml:space="preserve"> </w:t>
      </w:r>
      <w:r w:rsidR="00493FDB">
        <w:t xml:space="preserve">disability community’s philosophy of </w:t>
      </w:r>
      <w:r w:rsidR="00916694">
        <w:t>“</w:t>
      </w:r>
      <w:r w:rsidR="00916694" w:rsidRPr="003756FC">
        <w:t xml:space="preserve">Nothing </w:t>
      </w:r>
      <w:r w:rsidR="00916694">
        <w:t>w</w:t>
      </w:r>
      <w:r w:rsidR="00916694" w:rsidRPr="003756FC">
        <w:t xml:space="preserve">ithout </w:t>
      </w:r>
      <w:r w:rsidR="00916694">
        <w:t>u</w:t>
      </w:r>
      <w:r w:rsidR="00916694" w:rsidRPr="003756FC">
        <w:t>s</w:t>
      </w:r>
      <w:r w:rsidR="00916694">
        <w:t xml:space="preserve">.” </w:t>
      </w:r>
      <w:r w:rsidR="009F03BC" w:rsidRPr="009F03BC">
        <w:t xml:space="preserve">This means that people with disabilities </w:t>
      </w:r>
      <w:r w:rsidR="00A11822">
        <w:t>are</w:t>
      </w:r>
      <w:r w:rsidR="009F03BC" w:rsidRPr="009F03BC">
        <w:t xml:space="preserve"> involved in </w:t>
      </w:r>
      <w:r w:rsidR="009F03BC">
        <w:t>decisions that affect them.</w:t>
      </w:r>
    </w:p>
    <w:p w14:paraId="35919A18" w14:textId="4E06A727" w:rsidR="00D412A3" w:rsidRPr="000A1176" w:rsidRDefault="00916694" w:rsidP="00CA61F8">
      <w:r>
        <w:t>This is the first version of the standard</w:t>
      </w:r>
      <w:r w:rsidR="008F64D2">
        <w:t xml:space="preserve">, developed by </w:t>
      </w:r>
      <w:r w:rsidR="00CA61F8" w:rsidRPr="009F03BC">
        <w:t>Accessibility Standards Canad</w:t>
      </w:r>
      <w:r w:rsidR="00CA61F8">
        <w:t xml:space="preserve">a’s </w:t>
      </w:r>
      <w:hyperlink r:id="rId11" w:anchor="s3" w:history="1">
        <w:r w:rsidR="009F03BC" w:rsidRPr="00CA61F8">
          <w:rPr>
            <w:rStyle w:val="Hyperlink"/>
          </w:rPr>
          <w:t>technical committee on</w:t>
        </w:r>
        <w:r w:rsidR="00CA61F8" w:rsidRPr="00CA61F8">
          <w:rPr>
            <w:rStyle w:val="Hyperlink"/>
          </w:rPr>
          <w:t xml:space="preserve"> employment</w:t>
        </w:r>
      </w:hyperlink>
      <w:r w:rsidR="008F64D2">
        <w:rPr>
          <w:rStyle w:val="Hyperlink"/>
        </w:rPr>
        <w:t xml:space="preserve">. </w:t>
      </w:r>
      <w:r w:rsidR="008F64D2" w:rsidRPr="00A30576">
        <w:rPr>
          <w:rStyle w:val="Hyperlink"/>
          <w:color w:val="auto"/>
        </w:rPr>
        <w:t xml:space="preserve">The committee </w:t>
      </w:r>
      <w:r w:rsidRPr="00A30576">
        <w:rPr>
          <w:color w:val="auto"/>
        </w:rPr>
        <w:t>include</w:t>
      </w:r>
      <w:r w:rsidR="00D93ADD" w:rsidRPr="00A30576">
        <w:rPr>
          <w:color w:val="auto"/>
        </w:rPr>
        <w:t>s</w:t>
      </w:r>
      <w:r w:rsidRPr="00A30576">
        <w:rPr>
          <w:color w:val="auto"/>
        </w:rPr>
        <w:t xml:space="preserve"> </w:t>
      </w:r>
      <w:r>
        <w:t>experts with disabilities</w:t>
      </w:r>
      <w:r w:rsidR="00756B37">
        <w:t xml:space="preserve">. </w:t>
      </w:r>
      <w:r w:rsidR="00A11822">
        <w:t>It</w:t>
      </w:r>
      <w:r w:rsidR="00756B37">
        <w:t xml:space="preserve"> </w:t>
      </w:r>
      <w:r w:rsidR="008F64D2">
        <w:t>ma</w:t>
      </w:r>
      <w:r w:rsidR="003B41CB">
        <w:t>de</w:t>
      </w:r>
      <w:r w:rsidR="008F64D2">
        <w:t xml:space="preserve"> sure the standard </w:t>
      </w:r>
      <w:r w:rsidR="002F3059">
        <w:t>also aligns</w:t>
      </w:r>
      <w:r w:rsidR="008459B0">
        <w:t xml:space="preserve"> with other relevant standards</w:t>
      </w:r>
      <w:r w:rsidR="002F3059">
        <w:t>,</w:t>
      </w:r>
      <w:r w:rsidR="008459B0">
        <w:t xml:space="preserve"> such as</w:t>
      </w:r>
      <w:r w:rsidR="002F3059">
        <w:t xml:space="preserve"> the </w:t>
      </w:r>
      <w:r w:rsidR="00D676F6" w:rsidRPr="00E9504F">
        <w:rPr>
          <w:i/>
          <w:iCs/>
        </w:rPr>
        <w:t>CSA</w:t>
      </w:r>
      <w:r w:rsidR="002F3059" w:rsidRPr="00E9504F">
        <w:rPr>
          <w:i/>
          <w:iCs/>
        </w:rPr>
        <w:t> </w:t>
      </w:r>
      <w:r w:rsidR="00D676F6" w:rsidRPr="00E9504F">
        <w:rPr>
          <w:i/>
          <w:iCs/>
        </w:rPr>
        <w:t>Z1011</w:t>
      </w:r>
      <w:r w:rsidR="002F3059" w:rsidRPr="00E9504F">
        <w:rPr>
          <w:i/>
          <w:iCs/>
        </w:rPr>
        <w:t>:</w:t>
      </w:r>
      <w:r w:rsidR="00D676F6" w:rsidRPr="00E9504F">
        <w:rPr>
          <w:i/>
          <w:iCs/>
        </w:rPr>
        <w:t xml:space="preserve"> Work disability management system</w:t>
      </w:r>
      <w:r w:rsidR="003B7BEB" w:rsidRPr="000A1176">
        <w:t>.</w:t>
      </w:r>
    </w:p>
    <w:p w14:paraId="3D318311" w14:textId="1C4B29A6" w:rsidR="005B432A" w:rsidRDefault="005B432A" w:rsidP="005B432A">
      <w:r w:rsidRPr="00842DA5">
        <w:t xml:space="preserve">The </w:t>
      </w:r>
      <w:r>
        <w:t>standard</w:t>
      </w:r>
      <w:r w:rsidRPr="00842DA5">
        <w:t xml:space="preserve"> </w:t>
      </w:r>
      <w:r>
        <w:t xml:space="preserve">will </w:t>
      </w:r>
      <w:r w:rsidRPr="00842DA5">
        <w:t xml:space="preserve">facilitate accessibility and inclusion in the </w:t>
      </w:r>
      <w:r w:rsidR="009620DA">
        <w:t>work environment</w:t>
      </w:r>
      <w:r>
        <w:t>. It</w:t>
      </w:r>
      <w:r w:rsidR="00842DA5" w:rsidRPr="00842DA5">
        <w:t xml:space="preserve"> define</w:t>
      </w:r>
      <w:r>
        <w:t>s</w:t>
      </w:r>
      <w:r w:rsidR="00842DA5" w:rsidRPr="00842DA5">
        <w:t xml:space="preserve"> a framework </w:t>
      </w:r>
      <w:r>
        <w:t>for making</w:t>
      </w:r>
      <w:r w:rsidR="00842DA5" w:rsidRPr="00842DA5">
        <w:t xml:space="preserve"> systemic change </w:t>
      </w:r>
      <w:r w:rsidR="008F64D2">
        <w:t xml:space="preserve">by providing </w:t>
      </w:r>
      <w:r w:rsidR="00842DA5" w:rsidRPr="00842DA5">
        <w:t>solutions and policies</w:t>
      </w:r>
      <w:r w:rsidR="008F64D2">
        <w:t xml:space="preserve"> for work environments</w:t>
      </w:r>
      <w:r>
        <w:t xml:space="preserve">. </w:t>
      </w:r>
      <w:r w:rsidR="008F64D2">
        <w:t>For balance, it provides approaches</w:t>
      </w:r>
      <w:r w:rsidR="00961D52">
        <w:t xml:space="preserve"> in</w:t>
      </w:r>
      <w:r w:rsidR="008F64D2">
        <w:t xml:space="preserve"> </w:t>
      </w:r>
      <w:r w:rsidRPr="00843D81">
        <w:t xml:space="preserve">accessibility and accommodation </w:t>
      </w:r>
      <w:r w:rsidR="008F64D2">
        <w:t>that focus on the individual</w:t>
      </w:r>
      <w:r>
        <w:t>.</w:t>
      </w:r>
    </w:p>
    <w:p w14:paraId="43C54477" w14:textId="585871E7" w:rsidR="00E550EF" w:rsidRDefault="00E550EF" w:rsidP="002C6661">
      <w:pPr>
        <w:pStyle w:val="Heading3"/>
        <w:spacing w:after="200"/>
      </w:pPr>
      <w:r>
        <w:t xml:space="preserve">Key </w:t>
      </w:r>
      <w:r w:rsidR="009E2AF6">
        <w:t>r</w:t>
      </w:r>
      <w:r w:rsidR="00F16AC1">
        <w:t xml:space="preserve">equirements </w:t>
      </w:r>
      <w:r>
        <w:t xml:space="preserve">of </w:t>
      </w:r>
      <w:r w:rsidR="005B432A">
        <w:t>the</w:t>
      </w:r>
      <w:r>
        <w:t xml:space="preserve"> </w:t>
      </w:r>
      <w:r w:rsidR="009E2AF6">
        <w:t>s</w:t>
      </w:r>
      <w:r w:rsidR="00F16AC1">
        <w:t>tandard</w:t>
      </w:r>
      <w:r w:rsidR="00F16AC1" w:rsidRPr="00AF5A62">
        <w:t xml:space="preserve"> </w:t>
      </w:r>
    </w:p>
    <w:p w14:paraId="059D4217" w14:textId="54169205" w:rsidR="0051229C" w:rsidRDefault="008C3F9D" w:rsidP="0051229C">
      <w:pPr>
        <w:pStyle w:val="BodyBullet"/>
        <w:numPr>
          <w:ilvl w:val="0"/>
          <w:numId w:val="28"/>
        </w:numPr>
      </w:pPr>
      <w:r w:rsidRPr="0051229C">
        <w:rPr>
          <w:b/>
          <w:bCs/>
        </w:rPr>
        <w:t>Develop organizational systems, policies, and practices.</w:t>
      </w:r>
      <w:r w:rsidRPr="008A37E0">
        <w:t xml:space="preserve"> </w:t>
      </w:r>
      <w:r w:rsidR="00BF52DB" w:rsidRPr="0051229C">
        <w:rPr>
          <w:b/>
          <w:bCs/>
        </w:rPr>
        <w:t>Develop s</w:t>
      </w:r>
      <w:r w:rsidR="00C33138" w:rsidRPr="0051229C">
        <w:rPr>
          <w:b/>
          <w:bCs/>
        </w:rPr>
        <w:t>tructural support</w:t>
      </w:r>
      <w:r w:rsidR="00BF52DB" w:rsidRPr="0051229C">
        <w:rPr>
          <w:b/>
          <w:bCs/>
        </w:rPr>
        <w:t>s</w:t>
      </w:r>
      <w:r w:rsidRPr="0051229C">
        <w:rPr>
          <w:b/>
          <w:bCs/>
        </w:rPr>
        <w:t xml:space="preserve"> and show </w:t>
      </w:r>
      <w:r w:rsidR="00C33138" w:rsidRPr="0051229C">
        <w:rPr>
          <w:b/>
          <w:bCs/>
        </w:rPr>
        <w:t>leadership</w:t>
      </w:r>
      <w:r w:rsidRPr="008A37E0">
        <w:t xml:space="preserve"> </w:t>
      </w:r>
    </w:p>
    <w:p w14:paraId="553EDEF6" w14:textId="00ECA143" w:rsidR="00AD049A" w:rsidRDefault="008C3F9D" w:rsidP="0051229C">
      <w:pPr>
        <w:pStyle w:val="BodyBullet"/>
        <w:numPr>
          <w:ilvl w:val="1"/>
          <w:numId w:val="28"/>
        </w:numPr>
      </w:pPr>
      <w:r w:rsidRPr="008A37E0">
        <w:t>Emphasize the need for the</w:t>
      </w:r>
      <w:r w:rsidR="002C6661">
        <w:t> </w:t>
      </w:r>
      <w:r w:rsidRPr="008A37E0">
        <w:t>organization</w:t>
      </w:r>
      <w:r w:rsidR="00EE4E42">
        <w:t xml:space="preserve"> </w:t>
      </w:r>
      <w:r w:rsidRPr="008A37E0">
        <w:t>to support accessibility and the inclusion of workers with disabilities</w:t>
      </w:r>
    </w:p>
    <w:p w14:paraId="0232BBB0" w14:textId="10F339D8" w:rsidR="0051229C" w:rsidRDefault="008A37E0" w:rsidP="00AD049A">
      <w:pPr>
        <w:pStyle w:val="BodyBullet"/>
        <w:numPr>
          <w:ilvl w:val="2"/>
          <w:numId w:val="28"/>
        </w:numPr>
      </w:pPr>
      <w:r>
        <w:lastRenderedPageBreak/>
        <w:t>Do</w:t>
      </w:r>
      <w:r w:rsidR="008C3F9D" w:rsidRPr="008A37E0">
        <w:t xml:space="preserve"> this by creating </w:t>
      </w:r>
      <w:r w:rsidR="00F16953" w:rsidRPr="008A37E0">
        <w:t>measurable objectives</w:t>
      </w:r>
      <w:r w:rsidR="008C3F9D" w:rsidRPr="008A37E0">
        <w:t xml:space="preserve"> and</w:t>
      </w:r>
      <w:r w:rsidR="00F16953" w:rsidRPr="008A37E0">
        <w:t xml:space="preserve"> supporting policies</w:t>
      </w:r>
    </w:p>
    <w:p w14:paraId="280CA91F" w14:textId="1495B2E6" w:rsidR="00AD049A" w:rsidRDefault="00EE4E42" w:rsidP="0051229C">
      <w:pPr>
        <w:pStyle w:val="BodyBullet"/>
        <w:numPr>
          <w:ilvl w:val="1"/>
          <w:numId w:val="28"/>
        </w:numPr>
      </w:pPr>
      <w:r w:rsidRPr="008A37E0">
        <w:t xml:space="preserve">Having </w:t>
      </w:r>
      <w:r w:rsidR="008C3F9D" w:rsidRPr="008A37E0">
        <w:t>an inclusive and accessible employment system</w:t>
      </w:r>
      <w:r>
        <w:t xml:space="preserve"> requires the </w:t>
      </w:r>
      <w:r w:rsidRPr="008A37E0">
        <w:t xml:space="preserve">support of key parties in the </w:t>
      </w:r>
      <w:r w:rsidR="009620DA">
        <w:t>work environment</w:t>
      </w:r>
      <w:r w:rsidR="008C3F9D" w:rsidRPr="008A37E0">
        <w:t xml:space="preserve"> </w:t>
      </w:r>
    </w:p>
    <w:p w14:paraId="4F89D874" w14:textId="4DFCD328" w:rsidR="00C33138" w:rsidRPr="008A37E0" w:rsidRDefault="008C3F9D" w:rsidP="00AD049A">
      <w:pPr>
        <w:pStyle w:val="BodyBullet"/>
        <w:numPr>
          <w:ilvl w:val="2"/>
          <w:numId w:val="28"/>
        </w:numPr>
      </w:pPr>
      <w:r w:rsidRPr="008A37E0">
        <w:t xml:space="preserve">Ensure </w:t>
      </w:r>
      <w:r w:rsidR="00765F4A" w:rsidRPr="008A37E0">
        <w:t>th</w:t>
      </w:r>
      <w:r w:rsidR="00EE4E42">
        <w:t>e</w:t>
      </w:r>
      <w:r w:rsidR="00765F4A" w:rsidRPr="008A37E0">
        <w:t>se parties</w:t>
      </w:r>
      <w:r w:rsidRPr="008A37E0">
        <w:t xml:space="preserve"> have </w:t>
      </w:r>
      <w:r w:rsidR="00F16953" w:rsidRPr="008A37E0">
        <w:t>clear roles and responsibilities</w:t>
      </w:r>
      <w:r w:rsidR="00765F4A" w:rsidRPr="008A37E0">
        <w:t xml:space="preserve"> related to accessibility and inclusion</w:t>
      </w:r>
    </w:p>
    <w:p w14:paraId="0EBABE67" w14:textId="05AFCFB1" w:rsidR="0051229C" w:rsidRPr="0051229C" w:rsidRDefault="005B432A" w:rsidP="0051229C">
      <w:pPr>
        <w:pStyle w:val="BodyBullet"/>
        <w:numPr>
          <w:ilvl w:val="0"/>
          <w:numId w:val="28"/>
        </w:numPr>
      </w:pPr>
      <w:r w:rsidRPr="008A37E0">
        <w:rPr>
          <w:b/>
          <w:bCs/>
        </w:rPr>
        <w:t>Engage, educate</w:t>
      </w:r>
      <w:r w:rsidR="008C3F9D" w:rsidRPr="008A37E0">
        <w:rPr>
          <w:b/>
          <w:bCs/>
        </w:rPr>
        <w:t>,</w:t>
      </w:r>
      <w:r w:rsidRPr="008A37E0">
        <w:rPr>
          <w:b/>
          <w:bCs/>
        </w:rPr>
        <w:t xml:space="preserve"> and create a supportive culture</w:t>
      </w:r>
      <w:r w:rsidR="008C3F9D" w:rsidRPr="008A37E0">
        <w:rPr>
          <w:b/>
          <w:bCs/>
        </w:rPr>
        <w:t xml:space="preserve"> in</w:t>
      </w:r>
      <w:r w:rsidR="002C3CBA" w:rsidRPr="008A37E0">
        <w:rPr>
          <w:b/>
          <w:bCs/>
        </w:rPr>
        <w:t xml:space="preserve"> the </w:t>
      </w:r>
      <w:r w:rsidR="009620DA">
        <w:rPr>
          <w:b/>
          <w:bCs/>
        </w:rPr>
        <w:t>work environment</w:t>
      </w:r>
    </w:p>
    <w:p w14:paraId="3D08ED0D" w14:textId="44BF6A01" w:rsidR="00AD049A" w:rsidRDefault="0051229C" w:rsidP="0051229C">
      <w:pPr>
        <w:pStyle w:val="BodyBullet"/>
        <w:numPr>
          <w:ilvl w:val="1"/>
          <w:numId w:val="28"/>
        </w:numPr>
      </w:pPr>
      <w:r>
        <w:t>A</w:t>
      </w:r>
      <w:r w:rsidR="00765F4A" w:rsidRPr="008B5C82">
        <w:t xml:space="preserve">ll </w:t>
      </w:r>
      <w:r w:rsidR="003C4A95" w:rsidRPr="008B5C82">
        <w:t>workers deserve to be treated with respect and dignity</w:t>
      </w:r>
    </w:p>
    <w:p w14:paraId="03E721A7" w14:textId="7E5284BF" w:rsidR="0051229C" w:rsidRDefault="00765F4A" w:rsidP="00AD049A">
      <w:pPr>
        <w:pStyle w:val="BodyBullet"/>
        <w:numPr>
          <w:ilvl w:val="2"/>
          <w:numId w:val="28"/>
        </w:numPr>
      </w:pPr>
      <w:r>
        <w:t xml:space="preserve">Ensure </w:t>
      </w:r>
      <w:r w:rsidR="00717387">
        <w:t xml:space="preserve">the organization </w:t>
      </w:r>
      <w:r w:rsidR="0025283F">
        <w:t xml:space="preserve">aligns with </w:t>
      </w:r>
      <w:r w:rsidR="00717387">
        <w:t>this principle</w:t>
      </w:r>
      <w:r w:rsidR="003C4A95" w:rsidRPr="008B5C82">
        <w:t xml:space="preserve"> </w:t>
      </w:r>
      <w:r w:rsidR="00717387">
        <w:t>in a way that is healthy and inclusive of disabilities</w:t>
      </w:r>
    </w:p>
    <w:p w14:paraId="69D8E75A" w14:textId="013E48F4" w:rsidR="00842DA5" w:rsidRDefault="009E2AF6" w:rsidP="0051229C">
      <w:pPr>
        <w:pStyle w:val="BodyBullet"/>
        <w:numPr>
          <w:ilvl w:val="1"/>
          <w:numId w:val="28"/>
        </w:numPr>
      </w:pPr>
      <w:r>
        <w:t xml:space="preserve">This applies to </w:t>
      </w:r>
      <w:r w:rsidR="0051229C">
        <w:t>the</w:t>
      </w:r>
      <w:r w:rsidR="00831E31">
        <w:t xml:space="preserve"> </w:t>
      </w:r>
      <w:r w:rsidR="009620DA">
        <w:t>work environment</w:t>
      </w:r>
      <w:r w:rsidR="003C4A95" w:rsidRPr="008B5C82">
        <w:t xml:space="preserve"> culture</w:t>
      </w:r>
      <w:r w:rsidR="00717387">
        <w:t xml:space="preserve">, </w:t>
      </w:r>
      <w:r w:rsidR="003C4A95" w:rsidRPr="008B5C82">
        <w:t>leadership</w:t>
      </w:r>
      <w:r w:rsidR="00717387">
        <w:t>,</w:t>
      </w:r>
      <w:r w:rsidR="00C9665E">
        <w:t xml:space="preserve"> </w:t>
      </w:r>
      <w:r w:rsidR="003C4A95" w:rsidRPr="008B5C82">
        <w:t>communication</w:t>
      </w:r>
      <w:r w:rsidR="00717387">
        <w:t>,</w:t>
      </w:r>
      <w:r w:rsidR="003C4A95" w:rsidRPr="008B5C82">
        <w:t xml:space="preserve"> worker participation</w:t>
      </w:r>
      <w:r w:rsidR="00717387">
        <w:t>,</w:t>
      </w:r>
      <w:r w:rsidR="003C4A95" w:rsidRPr="008B5C82">
        <w:t xml:space="preserve"> training</w:t>
      </w:r>
      <w:r w:rsidR="00717387">
        <w:t>,</w:t>
      </w:r>
      <w:r w:rsidR="003C4A95" w:rsidRPr="008B5C82">
        <w:t xml:space="preserve"> and</w:t>
      </w:r>
      <w:r w:rsidR="000C650A">
        <w:t xml:space="preserve"> </w:t>
      </w:r>
      <w:r w:rsidR="003C4A95" w:rsidRPr="008B5C82">
        <w:t xml:space="preserve">education </w:t>
      </w:r>
    </w:p>
    <w:p w14:paraId="6A954AF5" w14:textId="647098A2" w:rsidR="0051229C" w:rsidRPr="0051229C" w:rsidRDefault="008C3F9D" w:rsidP="0051229C">
      <w:pPr>
        <w:pStyle w:val="BodyBullet"/>
        <w:numPr>
          <w:ilvl w:val="0"/>
          <w:numId w:val="28"/>
        </w:numPr>
      </w:pPr>
      <w:r>
        <w:rPr>
          <w:b/>
          <w:bCs/>
        </w:rPr>
        <w:t>Create a</w:t>
      </w:r>
      <w:r w:rsidR="00577D3A" w:rsidRPr="008B5C82">
        <w:rPr>
          <w:b/>
          <w:bCs/>
        </w:rPr>
        <w:t xml:space="preserve"> disability management system</w:t>
      </w:r>
      <w:r>
        <w:rPr>
          <w:b/>
          <w:bCs/>
        </w:rPr>
        <w:t xml:space="preserve">. Accommodate the accessibility needs of persons with disabilities </w:t>
      </w:r>
      <w:r w:rsidR="00577D3A" w:rsidRPr="008B5C82">
        <w:rPr>
          <w:b/>
          <w:bCs/>
        </w:rPr>
        <w:t xml:space="preserve">in the </w:t>
      </w:r>
      <w:r w:rsidR="009620DA">
        <w:rPr>
          <w:b/>
          <w:bCs/>
        </w:rPr>
        <w:t>work environment</w:t>
      </w:r>
    </w:p>
    <w:p w14:paraId="70F8B111" w14:textId="61A9B173" w:rsidR="0051229C" w:rsidRDefault="00280893" w:rsidP="0051229C">
      <w:pPr>
        <w:pStyle w:val="BodyBullet"/>
        <w:numPr>
          <w:ilvl w:val="1"/>
          <w:numId w:val="28"/>
        </w:numPr>
      </w:pPr>
      <w:r>
        <w:t>A</w:t>
      </w:r>
      <w:r w:rsidR="003A0D92" w:rsidRPr="008B5C82">
        <w:t xml:space="preserve"> work disability management system address</w:t>
      </w:r>
      <w:r w:rsidR="009E2AF6">
        <w:t xml:space="preserve">es </w:t>
      </w:r>
      <w:r w:rsidR="003A0D92" w:rsidRPr="008B5C82">
        <w:t>the accommodation needs of persons with disabilities</w:t>
      </w:r>
    </w:p>
    <w:p w14:paraId="47687772" w14:textId="5E5BE6D1" w:rsidR="0051229C" w:rsidRDefault="0025283F" w:rsidP="00AD049A">
      <w:pPr>
        <w:pStyle w:val="BodyBullet"/>
        <w:numPr>
          <w:ilvl w:val="2"/>
          <w:numId w:val="28"/>
        </w:numPr>
      </w:pPr>
      <w:r>
        <w:t xml:space="preserve">This is true whether </w:t>
      </w:r>
      <w:r w:rsidR="003A0D92" w:rsidRPr="008B5C82">
        <w:t xml:space="preserve">their disability is longstanding or acquired while at the organization </w:t>
      </w:r>
    </w:p>
    <w:p w14:paraId="3C8FA2F2" w14:textId="144AC653" w:rsidR="007219B4" w:rsidRDefault="00280893" w:rsidP="0051229C">
      <w:pPr>
        <w:pStyle w:val="BodyBullet"/>
        <w:numPr>
          <w:ilvl w:val="1"/>
          <w:numId w:val="28"/>
        </w:numPr>
      </w:pPr>
      <w:r>
        <w:t>Develop</w:t>
      </w:r>
      <w:r w:rsidR="007219B4" w:rsidRPr="007219B4">
        <w:t xml:space="preserve"> policies, processes, and programs for disability management in the </w:t>
      </w:r>
      <w:r w:rsidR="009620DA">
        <w:t>work environment</w:t>
      </w:r>
    </w:p>
    <w:p w14:paraId="15EEAF9F" w14:textId="0A146DE8" w:rsidR="0051229C" w:rsidRPr="0051229C" w:rsidRDefault="00BA69F9" w:rsidP="0051229C">
      <w:pPr>
        <w:pStyle w:val="BodyBullet"/>
        <w:numPr>
          <w:ilvl w:val="0"/>
          <w:numId w:val="28"/>
        </w:numPr>
      </w:pPr>
      <w:r w:rsidRPr="008B5C82">
        <w:rPr>
          <w:b/>
          <w:bCs/>
        </w:rPr>
        <w:t xml:space="preserve">Identify, </w:t>
      </w:r>
      <w:r w:rsidRPr="00BA69F9">
        <w:rPr>
          <w:b/>
          <w:bCs/>
        </w:rPr>
        <w:t>prevent,</w:t>
      </w:r>
      <w:r w:rsidRPr="008B5C82">
        <w:rPr>
          <w:b/>
          <w:bCs/>
        </w:rPr>
        <w:t xml:space="preserve"> and remov</w:t>
      </w:r>
      <w:r w:rsidR="008A37E0">
        <w:rPr>
          <w:b/>
          <w:bCs/>
        </w:rPr>
        <w:t>e</w:t>
      </w:r>
      <w:r w:rsidRPr="008B5C82">
        <w:rPr>
          <w:b/>
          <w:bCs/>
        </w:rPr>
        <w:t xml:space="preserve"> barriers encountered during recruitment, hiring</w:t>
      </w:r>
      <w:r w:rsidR="008A37E0">
        <w:rPr>
          <w:b/>
          <w:bCs/>
        </w:rPr>
        <w:t>,</w:t>
      </w:r>
      <w:r w:rsidRPr="008B5C82">
        <w:rPr>
          <w:b/>
          <w:bCs/>
        </w:rPr>
        <w:t xml:space="preserve"> and onboarding</w:t>
      </w:r>
    </w:p>
    <w:p w14:paraId="7129C881" w14:textId="0CD19214" w:rsidR="0051229C" w:rsidRDefault="008A37E0" w:rsidP="0051229C">
      <w:pPr>
        <w:pStyle w:val="BodyBullet"/>
        <w:numPr>
          <w:ilvl w:val="1"/>
          <w:numId w:val="28"/>
        </w:numPr>
      </w:pPr>
      <w:r>
        <w:t>W</w:t>
      </w:r>
      <w:r w:rsidRPr="008B5C82">
        <w:t xml:space="preserve">hen </w:t>
      </w:r>
      <w:r w:rsidR="00684100" w:rsidRPr="008B5C82">
        <w:t xml:space="preserve">the recruitment process is fully accessible, it enables organizations to diversify the </w:t>
      </w:r>
      <w:r w:rsidR="009620DA">
        <w:t>work environment</w:t>
      </w:r>
      <w:r>
        <w:t xml:space="preserve"> and</w:t>
      </w:r>
      <w:r w:rsidR="00684100" w:rsidRPr="008B5C82">
        <w:t xml:space="preserve"> </w:t>
      </w:r>
      <w:r w:rsidR="00684100" w:rsidRPr="00280893">
        <w:rPr>
          <w:spacing w:val="-2"/>
        </w:rPr>
        <w:t>reach qualified applicants</w:t>
      </w:r>
      <w:r w:rsidR="002C6661" w:rsidRPr="00280893">
        <w:rPr>
          <w:spacing w:val="-2"/>
        </w:rPr>
        <w:t>.</w:t>
      </w:r>
      <w:r w:rsidRPr="00280893">
        <w:rPr>
          <w:spacing w:val="-2"/>
        </w:rPr>
        <w:t xml:space="preserve"> It also</w:t>
      </w:r>
      <w:r w:rsidR="00684100" w:rsidRPr="00280893">
        <w:rPr>
          <w:spacing w:val="-2"/>
        </w:rPr>
        <w:t xml:space="preserve"> reduces the likelihood of discrimination</w:t>
      </w:r>
    </w:p>
    <w:p w14:paraId="438446A7" w14:textId="5EDDB7B8" w:rsidR="00684100" w:rsidRPr="008B5C82" w:rsidRDefault="00684100" w:rsidP="0051229C">
      <w:pPr>
        <w:pStyle w:val="BodyBullet"/>
        <w:numPr>
          <w:ilvl w:val="1"/>
          <w:numId w:val="28"/>
        </w:numPr>
      </w:pPr>
      <w:r w:rsidRPr="008B5C82">
        <w:t xml:space="preserve">The principle of </w:t>
      </w:r>
      <w:r w:rsidR="002C6661">
        <w:t>treating people equitably, without discrimination,</w:t>
      </w:r>
      <w:r w:rsidRPr="008B5C82">
        <w:t xml:space="preserve"> is to be respected throughout the recruitment and hiring process</w:t>
      </w:r>
      <w:r w:rsidR="002C6661">
        <w:t>. This will</w:t>
      </w:r>
      <w:r w:rsidRPr="008B5C82">
        <w:t xml:space="preserve"> ensure </w:t>
      </w:r>
      <w:r w:rsidR="002C6661">
        <w:t>maximum</w:t>
      </w:r>
      <w:r w:rsidRPr="008B5C82">
        <w:t xml:space="preserve"> benefit to the organization</w:t>
      </w:r>
      <w:r w:rsidR="002C6661">
        <w:t xml:space="preserve">. It will also </w:t>
      </w:r>
      <w:r w:rsidR="002C6661">
        <w:lastRenderedPageBreak/>
        <w:t xml:space="preserve">provide more </w:t>
      </w:r>
      <w:r w:rsidRPr="008B5C82">
        <w:t>equitable opportunities for workers with and without disabilities</w:t>
      </w:r>
    </w:p>
    <w:p w14:paraId="103C6FF7" w14:textId="7ADDFF5B" w:rsidR="0051229C" w:rsidRPr="0051229C" w:rsidRDefault="002C6661" w:rsidP="0051229C">
      <w:pPr>
        <w:pStyle w:val="ListParagraph"/>
        <w:numPr>
          <w:ilvl w:val="0"/>
          <w:numId w:val="28"/>
        </w:numPr>
      </w:pPr>
      <w:r w:rsidRPr="0051229C">
        <w:rPr>
          <w:b/>
          <w:bCs/>
        </w:rPr>
        <w:t xml:space="preserve">Identify, prevent, and remove barriers </w:t>
      </w:r>
      <w:r w:rsidR="006F0F1C" w:rsidRPr="0051229C">
        <w:rPr>
          <w:b/>
          <w:bCs/>
        </w:rPr>
        <w:t>encountered in worker retention, professional development, pay equity (compensation), performance management</w:t>
      </w:r>
      <w:r w:rsidR="00D54348" w:rsidRPr="0051229C">
        <w:rPr>
          <w:b/>
          <w:bCs/>
        </w:rPr>
        <w:t>,</w:t>
      </w:r>
      <w:r w:rsidR="006F0F1C" w:rsidRPr="0051229C">
        <w:rPr>
          <w:b/>
          <w:bCs/>
        </w:rPr>
        <w:t xml:space="preserve"> and job separation</w:t>
      </w:r>
    </w:p>
    <w:p w14:paraId="210E8FD1" w14:textId="319A4D61" w:rsidR="00280893" w:rsidRDefault="002C6661" w:rsidP="0051229C">
      <w:pPr>
        <w:pStyle w:val="ListParagraph"/>
        <w:numPr>
          <w:ilvl w:val="1"/>
          <w:numId w:val="28"/>
        </w:numPr>
      </w:pPr>
      <w:r>
        <w:t>Create</w:t>
      </w:r>
      <w:r w:rsidR="0082794B">
        <w:t xml:space="preserve"> policies and practices that</w:t>
      </w:r>
      <w:r>
        <w:t xml:space="preserve"> </w:t>
      </w:r>
      <w:r w:rsidR="0082794B">
        <w:t>will strengthen job retention and career advancement for all workers, with a focus on workers with disabilities</w:t>
      </w:r>
    </w:p>
    <w:p w14:paraId="57D09147" w14:textId="54F939D5" w:rsidR="0051229C" w:rsidRDefault="002C6661" w:rsidP="0051229C">
      <w:pPr>
        <w:pStyle w:val="ListParagraph"/>
        <w:numPr>
          <w:ilvl w:val="1"/>
          <w:numId w:val="28"/>
        </w:numPr>
      </w:pPr>
      <w:r>
        <w:t>Th</w:t>
      </w:r>
      <w:r w:rsidR="00D85D46">
        <w:t>is section also</w:t>
      </w:r>
      <w:r>
        <w:t xml:space="preserve"> </w:t>
      </w:r>
      <w:r w:rsidR="00D85D46">
        <w:t>outlines</w:t>
      </w:r>
      <w:r w:rsidR="0082794B">
        <w:t xml:space="preserve"> responsibilities for creating an accessible </w:t>
      </w:r>
      <w:r w:rsidR="009620DA">
        <w:t>work environment</w:t>
      </w:r>
      <w:r w:rsidR="0082794B">
        <w:t xml:space="preserve"> that will: </w:t>
      </w:r>
    </w:p>
    <w:p w14:paraId="249FC889" w14:textId="782C89F3" w:rsidR="0051229C" w:rsidRDefault="006B21DE" w:rsidP="0051229C">
      <w:pPr>
        <w:pStyle w:val="ListParagraph"/>
        <w:numPr>
          <w:ilvl w:val="2"/>
          <w:numId w:val="28"/>
        </w:numPr>
      </w:pPr>
      <w:r>
        <w:t>f</w:t>
      </w:r>
      <w:r w:rsidR="0082794B">
        <w:t>oster the continued employment of workers</w:t>
      </w:r>
      <w:r w:rsidR="009E2AF6">
        <w:t>;</w:t>
      </w:r>
      <w:r w:rsidR="0082794B">
        <w:t xml:space="preserve"> </w:t>
      </w:r>
    </w:p>
    <w:p w14:paraId="07AA27C5" w14:textId="77777777" w:rsidR="0051229C" w:rsidRDefault="0082794B" w:rsidP="0051229C">
      <w:pPr>
        <w:pStyle w:val="ListParagraph"/>
        <w:numPr>
          <w:ilvl w:val="2"/>
          <w:numId w:val="28"/>
        </w:numPr>
      </w:pPr>
      <w:r>
        <w:t xml:space="preserve">provide </w:t>
      </w:r>
      <w:r w:rsidR="002C6661">
        <w:t>workers</w:t>
      </w:r>
      <w:r>
        <w:t xml:space="preserve"> with equitable opportunities for training and promotion</w:t>
      </w:r>
      <w:r w:rsidR="009E2AF6">
        <w:t>; and</w:t>
      </w:r>
      <w:r w:rsidR="0051229C">
        <w:t xml:space="preserve"> </w:t>
      </w:r>
    </w:p>
    <w:p w14:paraId="7A4B45F6" w14:textId="5FB52CDB" w:rsidR="00AD049A" w:rsidRDefault="0082794B" w:rsidP="007C78D3">
      <w:pPr>
        <w:pStyle w:val="ListParagraph"/>
        <w:numPr>
          <w:ilvl w:val="2"/>
          <w:numId w:val="28"/>
        </w:numPr>
      </w:pPr>
      <w:r>
        <w:t xml:space="preserve">ensure </w:t>
      </w:r>
      <w:r w:rsidR="002C6661">
        <w:t>workers</w:t>
      </w:r>
      <w:r>
        <w:t xml:space="preserve"> </w:t>
      </w:r>
      <w:r w:rsidR="002C6661">
        <w:t>are compensated</w:t>
      </w:r>
      <w:r>
        <w:t xml:space="preserve"> based on merit. </w:t>
      </w:r>
    </w:p>
    <w:p w14:paraId="07754B7C" w14:textId="00A77F59" w:rsidR="00916694" w:rsidRPr="000F6A58" w:rsidRDefault="0082794B" w:rsidP="00E9504F">
      <w:pPr>
        <w:pStyle w:val="ListParagraph"/>
        <w:numPr>
          <w:ilvl w:val="1"/>
          <w:numId w:val="28"/>
        </w:numPr>
      </w:pPr>
      <w:r>
        <w:t xml:space="preserve">In addition, this </w:t>
      </w:r>
      <w:r w:rsidR="002C6661">
        <w:t>section</w:t>
      </w:r>
      <w:r>
        <w:t xml:space="preserve"> </w:t>
      </w:r>
      <w:r w:rsidR="00D85D46">
        <w:t>describes</w:t>
      </w:r>
      <w:r>
        <w:t xml:space="preserve"> </w:t>
      </w:r>
      <w:r w:rsidR="002C6661">
        <w:t>m</w:t>
      </w:r>
      <w:r>
        <w:t xml:space="preserve">anagement’s responsibility for providing accommodations that will not </w:t>
      </w:r>
      <w:r w:rsidR="00E9504F">
        <w:t xml:space="preserve">create additional barriers for </w:t>
      </w:r>
      <w:r>
        <w:t>workers with disabilities</w:t>
      </w:r>
    </w:p>
    <w:sectPr w:rsidR="00916694" w:rsidRPr="000F6A58" w:rsidSect="002C6661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1440" w:left="144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DB7A" w14:textId="77777777" w:rsidR="00F47FEC" w:rsidRDefault="00F47FEC" w:rsidP="004743C9">
      <w:r>
        <w:separator/>
      </w:r>
    </w:p>
  </w:endnote>
  <w:endnote w:type="continuationSeparator" w:id="0">
    <w:p w14:paraId="4FCB4162" w14:textId="77777777" w:rsidR="00F47FEC" w:rsidRDefault="00F47FEC" w:rsidP="004743C9">
      <w:r>
        <w:continuationSeparator/>
      </w:r>
    </w:p>
  </w:endnote>
  <w:endnote w:type="continuationNotice" w:id="1">
    <w:p w14:paraId="40F5F87B" w14:textId="77777777" w:rsidR="00F47FEC" w:rsidRDefault="00F47F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77777777" w:rsidR="00B57C4E" w:rsidRDefault="007A708F" w:rsidP="004743C9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CFD34" w14:textId="77777777" w:rsidR="00B57C4E" w:rsidRDefault="00B57C4E" w:rsidP="0047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E01D" w14:textId="6299920E" w:rsidR="004743C9" w:rsidRPr="004743C9" w:rsidRDefault="004743C9" w:rsidP="004743C9">
    <w:pPr>
      <w:pStyle w:val="Footer"/>
    </w:pPr>
    <w:r w:rsidRPr="004743C9">
      <w:drawing>
        <wp:anchor distT="0" distB="0" distL="114300" distR="114300" simplePos="0" relativeHeight="251658242" behindDoc="0" locked="0" layoutInCell="1" allowOverlap="1" wp14:anchorId="7E417483" wp14:editId="301FC8B7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3C9">
      <w:fldChar w:fldCharType="begin"/>
    </w:r>
    <w:r w:rsidRPr="004743C9">
      <w:instrText xml:space="preserve"> PAGE   \* MERGEFORMAT </w:instrText>
    </w:r>
    <w:r w:rsidRPr="004743C9">
      <w:fldChar w:fldCharType="separate"/>
    </w:r>
    <w:r w:rsidR="00314AA7">
      <w:t>2</w:t>
    </w:r>
    <w:r w:rsidRPr="004743C9">
      <w:fldChar w:fldCharType="end"/>
    </w:r>
    <w:r w:rsidRPr="004743C9">
      <w:t xml:space="preserve"> of </w:t>
    </w:r>
    <w:fldSimple w:instr=" NUMPAGES  \* MERGEFORMAT ">
      <w:r w:rsidR="00314AA7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13D" w14:textId="0DDBAB22" w:rsidR="004743C9" w:rsidRPr="004743C9" w:rsidRDefault="004743C9" w:rsidP="004743C9">
    <w:pPr>
      <w:jc w:val="right"/>
      <w:rPr>
        <w:sz w:val="23"/>
        <w:szCs w:val="23"/>
      </w:rPr>
    </w:pPr>
    <w:r w:rsidRPr="005B6A93">
      <w:rPr>
        <w:rFonts w:eastAsia="Calibri"/>
        <w:noProof/>
        <w:color w:val="000000"/>
        <w:lang w:eastAsia="en-CA"/>
      </w:rPr>
      <w:drawing>
        <wp:anchor distT="0" distB="0" distL="114300" distR="114300" simplePos="0" relativeHeight="251658241" behindDoc="0" locked="0" layoutInCell="1" allowOverlap="1" wp14:anchorId="31D5B113" wp14:editId="6DF6FEB1">
          <wp:simplePos x="0" y="0"/>
          <wp:positionH relativeFrom="page">
            <wp:posOffset>12336</wp:posOffset>
          </wp:positionH>
          <wp:positionV relativeFrom="paragraph">
            <wp:posOffset>394335</wp:posOffset>
          </wp:positionV>
          <wp:extent cx="7776376" cy="296532"/>
          <wp:effectExtent l="0" t="0" r="0" b="889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314AA7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14A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AB08" w14:textId="77777777" w:rsidR="00F47FEC" w:rsidRDefault="00F47FEC" w:rsidP="004743C9">
      <w:r>
        <w:separator/>
      </w:r>
    </w:p>
  </w:footnote>
  <w:footnote w:type="continuationSeparator" w:id="0">
    <w:p w14:paraId="57328320" w14:textId="77777777" w:rsidR="00F47FEC" w:rsidRDefault="00F47FEC" w:rsidP="004743C9">
      <w:r>
        <w:continuationSeparator/>
      </w:r>
    </w:p>
  </w:footnote>
  <w:footnote w:type="continuationNotice" w:id="1">
    <w:p w14:paraId="0ECFA29C" w14:textId="77777777" w:rsidR="00F47FEC" w:rsidRDefault="00F47F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210A" w14:textId="77777777" w:rsidR="00B57C4E" w:rsidRPr="00B41A40" w:rsidRDefault="007A708F" w:rsidP="004743C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723813E" wp14:editId="203F0CD8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772234" cy="806808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34" cy="80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62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067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48D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2268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09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CA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2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ED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34EE6"/>
    <w:multiLevelType w:val="hybridMultilevel"/>
    <w:tmpl w:val="3BDA7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80130"/>
    <w:multiLevelType w:val="hybridMultilevel"/>
    <w:tmpl w:val="3B42D6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70D68"/>
    <w:multiLevelType w:val="hybridMultilevel"/>
    <w:tmpl w:val="5F9C7C36"/>
    <w:lvl w:ilvl="0" w:tplc="AC84CD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B0BFD"/>
    <w:multiLevelType w:val="hybridMultilevel"/>
    <w:tmpl w:val="2D2E86AE"/>
    <w:lvl w:ilvl="0" w:tplc="10090017">
      <w:start w:val="1"/>
      <w:numFmt w:val="lowerLetter"/>
      <w:lvlText w:val="%1)"/>
      <w:lvlJc w:val="left"/>
      <w:pPr>
        <w:ind w:left="800" w:hanging="360"/>
      </w:p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70B8E"/>
    <w:multiLevelType w:val="hybridMultilevel"/>
    <w:tmpl w:val="0FF69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DA1"/>
    <w:multiLevelType w:val="multilevel"/>
    <w:tmpl w:val="43129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5370"/>
    <w:multiLevelType w:val="hybridMultilevel"/>
    <w:tmpl w:val="78AE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160FE"/>
    <w:multiLevelType w:val="hybridMultilevel"/>
    <w:tmpl w:val="7D8A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74371"/>
    <w:multiLevelType w:val="hybridMultilevel"/>
    <w:tmpl w:val="54CCA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4" w15:restartNumberingAfterBreak="0">
    <w:nsid w:val="5D460602"/>
    <w:multiLevelType w:val="hybridMultilevel"/>
    <w:tmpl w:val="366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F3384"/>
    <w:multiLevelType w:val="hybridMultilevel"/>
    <w:tmpl w:val="18FA9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7A4E64A4"/>
    <w:multiLevelType w:val="hybridMultilevel"/>
    <w:tmpl w:val="CE8A2A34"/>
    <w:lvl w:ilvl="0" w:tplc="63DA14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9868">
    <w:abstractNumId w:val="23"/>
  </w:num>
  <w:num w:numId="2" w16cid:durableId="1407730586">
    <w:abstractNumId w:val="21"/>
  </w:num>
  <w:num w:numId="3" w16cid:durableId="180633065">
    <w:abstractNumId w:val="16"/>
  </w:num>
  <w:num w:numId="4" w16cid:durableId="2044820478">
    <w:abstractNumId w:val="14"/>
  </w:num>
  <w:num w:numId="5" w16cid:durableId="791286880">
    <w:abstractNumId w:val="26"/>
  </w:num>
  <w:num w:numId="6" w16cid:durableId="1756052637">
    <w:abstractNumId w:val="18"/>
  </w:num>
  <w:num w:numId="7" w16cid:durableId="1363552394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935766">
    <w:abstractNumId w:val="17"/>
  </w:num>
  <w:num w:numId="9" w16cid:durableId="1054934146">
    <w:abstractNumId w:val="0"/>
  </w:num>
  <w:num w:numId="10" w16cid:durableId="1257396555">
    <w:abstractNumId w:val="1"/>
  </w:num>
  <w:num w:numId="11" w16cid:durableId="819346831">
    <w:abstractNumId w:val="2"/>
  </w:num>
  <w:num w:numId="12" w16cid:durableId="1731030820">
    <w:abstractNumId w:val="3"/>
  </w:num>
  <w:num w:numId="13" w16cid:durableId="1958293214">
    <w:abstractNumId w:val="8"/>
  </w:num>
  <w:num w:numId="14" w16cid:durableId="1951204903">
    <w:abstractNumId w:val="4"/>
  </w:num>
  <w:num w:numId="15" w16cid:durableId="731199275">
    <w:abstractNumId w:val="5"/>
  </w:num>
  <w:num w:numId="16" w16cid:durableId="1068499734">
    <w:abstractNumId w:val="6"/>
  </w:num>
  <w:num w:numId="17" w16cid:durableId="146170839">
    <w:abstractNumId w:val="7"/>
  </w:num>
  <w:num w:numId="18" w16cid:durableId="2080978666">
    <w:abstractNumId w:val="9"/>
  </w:num>
  <w:num w:numId="19" w16cid:durableId="1046686885">
    <w:abstractNumId w:val="24"/>
  </w:num>
  <w:num w:numId="20" w16cid:durableId="1752971850">
    <w:abstractNumId w:val="19"/>
  </w:num>
  <w:num w:numId="21" w16cid:durableId="1907375118">
    <w:abstractNumId w:val="12"/>
  </w:num>
  <w:num w:numId="22" w16cid:durableId="449668783">
    <w:abstractNumId w:val="10"/>
  </w:num>
  <w:num w:numId="23" w16cid:durableId="1676346848">
    <w:abstractNumId w:val="22"/>
  </w:num>
  <w:num w:numId="24" w16cid:durableId="2073507001">
    <w:abstractNumId w:val="13"/>
  </w:num>
  <w:num w:numId="25" w16cid:durableId="1281230584">
    <w:abstractNumId w:val="11"/>
  </w:num>
  <w:num w:numId="26" w16cid:durableId="1372728851">
    <w:abstractNumId w:val="20"/>
  </w:num>
  <w:num w:numId="27" w16cid:durableId="809906869">
    <w:abstractNumId w:val="27"/>
  </w:num>
  <w:num w:numId="28" w16cid:durableId="610015244">
    <w:abstractNumId w:val="15"/>
  </w:num>
  <w:num w:numId="29" w16cid:durableId="5067923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readOnly" w:enforcement="1" w:cryptProviderType="rsaAES" w:cryptAlgorithmClass="hash" w:cryptAlgorithmType="typeAny" w:cryptAlgorithmSid="14" w:cryptSpinCount="100000" w:hash="WHmNWqtAgD2a93N6wd70uYe4eNtrkT5izg1Cmk6cRBl0q7jgPsBj04TJrduYgIdh567RvfTTVYnHklvtQ5D2yQ==" w:salt="zVaxrvgFiopMBclp97oJI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MDUxNzIyMbQwMTdW0lEKTi0uzszPAykwqgUAArSklywAAAA="/>
  </w:docVars>
  <w:rsids>
    <w:rsidRoot w:val="00540D2B"/>
    <w:rsid w:val="00011E78"/>
    <w:rsid w:val="00072DBC"/>
    <w:rsid w:val="000776C6"/>
    <w:rsid w:val="00084211"/>
    <w:rsid w:val="00095FB5"/>
    <w:rsid w:val="000A1176"/>
    <w:rsid w:val="000A210E"/>
    <w:rsid w:val="000C4530"/>
    <w:rsid w:val="000C642A"/>
    <w:rsid w:val="000C650A"/>
    <w:rsid w:val="000F6A58"/>
    <w:rsid w:val="0011396D"/>
    <w:rsid w:val="00141F87"/>
    <w:rsid w:val="00156653"/>
    <w:rsid w:val="0016210C"/>
    <w:rsid w:val="0017130A"/>
    <w:rsid w:val="00171E18"/>
    <w:rsid w:val="00181663"/>
    <w:rsid w:val="00191A9A"/>
    <w:rsid w:val="001A627E"/>
    <w:rsid w:val="001D13B1"/>
    <w:rsid w:val="001D1812"/>
    <w:rsid w:val="001D6E10"/>
    <w:rsid w:val="001E5AD5"/>
    <w:rsid w:val="001F11EE"/>
    <w:rsid w:val="002367BD"/>
    <w:rsid w:val="0025283F"/>
    <w:rsid w:val="00260A05"/>
    <w:rsid w:val="00280893"/>
    <w:rsid w:val="00285CB8"/>
    <w:rsid w:val="002961F5"/>
    <w:rsid w:val="002C01F6"/>
    <w:rsid w:val="002C3CBA"/>
    <w:rsid w:val="002C6661"/>
    <w:rsid w:val="002F3059"/>
    <w:rsid w:val="00314AA7"/>
    <w:rsid w:val="00331758"/>
    <w:rsid w:val="00373708"/>
    <w:rsid w:val="00373A3B"/>
    <w:rsid w:val="0037746D"/>
    <w:rsid w:val="003A0D92"/>
    <w:rsid w:val="003B41CB"/>
    <w:rsid w:val="003B7576"/>
    <w:rsid w:val="003B7BEB"/>
    <w:rsid w:val="003C4A95"/>
    <w:rsid w:val="003C682A"/>
    <w:rsid w:val="003E1E33"/>
    <w:rsid w:val="003F276E"/>
    <w:rsid w:val="004004BC"/>
    <w:rsid w:val="00412F91"/>
    <w:rsid w:val="00430D2B"/>
    <w:rsid w:val="004502A6"/>
    <w:rsid w:val="004519B0"/>
    <w:rsid w:val="00463E31"/>
    <w:rsid w:val="004743C9"/>
    <w:rsid w:val="00483128"/>
    <w:rsid w:val="00493FDB"/>
    <w:rsid w:val="00497CBA"/>
    <w:rsid w:val="004C2D8C"/>
    <w:rsid w:val="0051229C"/>
    <w:rsid w:val="005208DF"/>
    <w:rsid w:val="00521EF1"/>
    <w:rsid w:val="00522E60"/>
    <w:rsid w:val="00540D2B"/>
    <w:rsid w:val="005510AA"/>
    <w:rsid w:val="005543F9"/>
    <w:rsid w:val="00567848"/>
    <w:rsid w:val="00571E43"/>
    <w:rsid w:val="0057454C"/>
    <w:rsid w:val="0057518C"/>
    <w:rsid w:val="00577452"/>
    <w:rsid w:val="00577D3A"/>
    <w:rsid w:val="005B432A"/>
    <w:rsid w:val="005B6A93"/>
    <w:rsid w:val="005D1E3C"/>
    <w:rsid w:val="005D3044"/>
    <w:rsid w:val="0061439B"/>
    <w:rsid w:val="00681B9D"/>
    <w:rsid w:val="00684100"/>
    <w:rsid w:val="00684DCD"/>
    <w:rsid w:val="006B1C6E"/>
    <w:rsid w:val="006B21DE"/>
    <w:rsid w:val="006C7035"/>
    <w:rsid w:val="006E232F"/>
    <w:rsid w:val="006E6786"/>
    <w:rsid w:val="006F0B50"/>
    <w:rsid w:val="006F0F1C"/>
    <w:rsid w:val="006F5332"/>
    <w:rsid w:val="00712348"/>
    <w:rsid w:val="00717387"/>
    <w:rsid w:val="007219B4"/>
    <w:rsid w:val="007234E0"/>
    <w:rsid w:val="007331B6"/>
    <w:rsid w:val="007409DA"/>
    <w:rsid w:val="007424A2"/>
    <w:rsid w:val="007454E1"/>
    <w:rsid w:val="007526DF"/>
    <w:rsid w:val="00756B37"/>
    <w:rsid w:val="00765F4A"/>
    <w:rsid w:val="007840D6"/>
    <w:rsid w:val="007A708F"/>
    <w:rsid w:val="007C6CD9"/>
    <w:rsid w:val="00805D47"/>
    <w:rsid w:val="0082794B"/>
    <w:rsid w:val="00831E31"/>
    <w:rsid w:val="00842DA5"/>
    <w:rsid w:val="00843D81"/>
    <w:rsid w:val="008459B0"/>
    <w:rsid w:val="008623D3"/>
    <w:rsid w:val="0088563F"/>
    <w:rsid w:val="008A37E0"/>
    <w:rsid w:val="008A6475"/>
    <w:rsid w:val="008B5C82"/>
    <w:rsid w:val="008C3F9D"/>
    <w:rsid w:val="008D4A5C"/>
    <w:rsid w:val="008D7280"/>
    <w:rsid w:val="008F57F5"/>
    <w:rsid w:val="008F64D2"/>
    <w:rsid w:val="00905E29"/>
    <w:rsid w:val="00907A13"/>
    <w:rsid w:val="00916694"/>
    <w:rsid w:val="0092130D"/>
    <w:rsid w:val="00952832"/>
    <w:rsid w:val="00961D52"/>
    <w:rsid w:val="009620DA"/>
    <w:rsid w:val="009A3092"/>
    <w:rsid w:val="009A6806"/>
    <w:rsid w:val="009A7960"/>
    <w:rsid w:val="009B4634"/>
    <w:rsid w:val="009B7699"/>
    <w:rsid w:val="009D0106"/>
    <w:rsid w:val="009D6D9D"/>
    <w:rsid w:val="009E2AF6"/>
    <w:rsid w:val="009F03BC"/>
    <w:rsid w:val="00A00BEC"/>
    <w:rsid w:val="00A03D61"/>
    <w:rsid w:val="00A11822"/>
    <w:rsid w:val="00A30576"/>
    <w:rsid w:val="00A31179"/>
    <w:rsid w:val="00A34BC8"/>
    <w:rsid w:val="00A63377"/>
    <w:rsid w:val="00A65648"/>
    <w:rsid w:val="00A65DD5"/>
    <w:rsid w:val="00A7772D"/>
    <w:rsid w:val="00AA554A"/>
    <w:rsid w:val="00AD049A"/>
    <w:rsid w:val="00B24EC5"/>
    <w:rsid w:val="00B52384"/>
    <w:rsid w:val="00B53785"/>
    <w:rsid w:val="00B57C4E"/>
    <w:rsid w:val="00B6639B"/>
    <w:rsid w:val="00B72909"/>
    <w:rsid w:val="00BA69F9"/>
    <w:rsid w:val="00BB4454"/>
    <w:rsid w:val="00BC3E88"/>
    <w:rsid w:val="00BE3969"/>
    <w:rsid w:val="00BF52DB"/>
    <w:rsid w:val="00C17541"/>
    <w:rsid w:val="00C33138"/>
    <w:rsid w:val="00C562E8"/>
    <w:rsid w:val="00C71996"/>
    <w:rsid w:val="00C9665E"/>
    <w:rsid w:val="00CA61F8"/>
    <w:rsid w:val="00CC1523"/>
    <w:rsid w:val="00CD1892"/>
    <w:rsid w:val="00CD57DF"/>
    <w:rsid w:val="00CF1E9E"/>
    <w:rsid w:val="00D20EED"/>
    <w:rsid w:val="00D412A3"/>
    <w:rsid w:val="00D41ADA"/>
    <w:rsid w:val="00D54348"/>
    <w:rsid w:val="00D676F6"/>
    <w:rsid w:val="00D80B58"/>
    <w:rsid w:val="00D85D46"/>
    <w:rsid w:val="00D85E12"/>
    <w:rsid w:val="00D93ADD"/>
    <w:rsid w:val="00DA2DEC"/>
    <w:rsid w:val="00E127CE"/>
    <w:rsid w:val="00E24C23"/>
    <w:rsid w:val="00E37359"/>
    <w:rsid w:val="00E405C6"/>
    <w:rsid w:val="00E550EF"/>
    <w:rsid w:val="00E646E6"/>
    <w:rsid w:val="00E66F15"/>
    <w:rsid w:val="00E80D56"/>
    <w:rsid w:val="00E9504F"/>
    <w:rsid w:val="00EA11C2"/>
    <w:rsid w:val="00EE4E42"/>
    <w:rsid w:val="00EE591E"/>
    <w:rsid w:val="00EF0033"/>
    <w:rsid w:val="00F16953"/>
    <w:rsid w:val="00F16AC1"/>
    <w:rsid w:val="00F35D3A"/>
    <w:rsid w:val="00F43FC4"/>
    <w:rsid w:val="00F44AFC"/>
    <w:rsid w:val="00F47FEC"/>
    <w:rsid w:val="00F64A40"/>
    <w:rsid w:val="00F957FA"/>
    <w:rsid w:val="00FC4360"/>
    <w:rsid w:val="00FD59F9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CD43"/>
  <w15:chartTrackingRefBased/>
  <w15:docId w15:val="{E9961D61-F712-4AA7-A12F-F029BE40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C9"/>
    <w:pPr>
      <w:spacing w:before="160" w:after="160" w:line="259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E43"/>
    <w:pPr>
      <w:keepNext/>
      <w:keepLines/>
      <w:spacing w:before="240" w:after="240"/>
      <w:outlineLvl w:val="0"/>
    </w:pPr>
    <w:rPr>
      <w:rFonts w:eastAsia="Times New Roman" w:cs="Times New Roman"/>
      <w:b/>
      <w:color w:val="0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61"/>
    <w:pPr>
      <w:keepNext/>
      <w:keepLines/>
      <w:spacing w:after="220"/>
      <w:outlineLvl w:val="1"/>
    </w:pPr>
    <w:rPr>
      <w:rFonts w:eastAsia="Times New Roman" w:cs="Times New Roman"/>
      <w:b/>
      <w:color w:val="00000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0"/>
    <w:pPr>
      <w:keepNext/>
      <w:keepLines/>
      <w:spacing w:after="240"/>
      <w:outlineLvl w:val="2"/>
    </w:pPr>
    <w:rPr>
      <w:rFonts w:eastAsia="Times New Roman" w:cs="Times New Roman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B50"/>
    <w:pPr>
      <w:keepNext/>
      <w:keepLines/>
      <w:spacing w:after="120"/>
      <w:outlineLvl w:val="3"/>
    </w:pPr>
    <w:rPr>
      <w:rFonts w:eastAsia="Times New Roman" w:cs="Times New Roman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E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E43"/>
    <w:pPr>
      <w:numPr>
        <w:numId w:val="21"/>
      </w:numPr>
      <w:contextualSpacing/>
    </w:pPr>
    <w:rPr>
      <w:rFonts w:eastAsia="Times New Roman" w:cs="Times New Roman"/>
      <w:lang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E43"/>
    <w:rPr>
      <w:rFonts w:ascii="Arial" w:eastAsia="Times New Roman" w:hAnsi="Arial" w:cs="Times New Roman"/>
      <w:color w:val="000000" w:themeColor="text1"/>
      <w:sz w:val="28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71E43"/>
    <w:rPr>
      <w:rFonts w:ascii="Arial" w:eastAsia="Times New Roman" w:hAnsi="Arial" w:cs="Times New Roman"/>
      <w:b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661"/>
    <w:rPr>
      <w:rFonts w:ascii="Arial" w:eastAsia="Times New Roman" w:hAnsi="Arial" w:cs="Times New Roman"/>
      <w:b/>
      <w:color w:val="00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B50"/>
    <w:rPr>
      <w:rFonts w:ascii="Arial" w:eastAsia="Times New Roman" w:hAnsi="Arial" w:cs="Times New Roman"/>
      <w:b/>
      <w:color w:val="000000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3C9"/>
    <w:pPr>
      <w:jc w:val="right"/>
    </w:pPr>
    <w:rPr>
      <w:rFonts w:eastAsia="Calibri"/>
      <w:noProof/>
      <w:color w:val="00000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743C9"/>
    <w:rPr>
      <w:rFonts w:ascii="Arial" w:eastAsia="Calibri" w:hAnsi="Arial" w:cs="Times New Roman (Body CS)"/>
      <w:noProof/>
      <w:color w:val="000000"/>
      <w:sz w:val="28"/>
      <w:szCs w:val="24"/>
      <w:lang w:eastAsia="en-CA"/>
    </w:rPr>
  </w:style>
  <w:style w:type="paragraph" w:customStyle="1" w:styleId="Body">
    <w:name w:val="Body"/>
    <w:basedOn w:val="Normal"/>
    <w:rsid w:val="004743C9"/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ListParagraph"/>
    <w:qFormat/>
    <w:rsid w:val="008A37E0"/>
    <w:pPr>
      <w:contextualSpacing w:val="0"/>
    </w:pPr>
  </w:style>
  <w:style w:type="paragraph" w:customStyle="1" w:styleId="MainTitle">
    <w:name w:val="MainTitle"/>
    <w:basedOn w:val="Normal"/>
    <w:link w:val="MainTitleChar"/>
    <w:qFormat/>
    <w:rsid w:val="00571E43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bdr w:val="nil"/>
    </w:rPr>
  </w:style>
  <w:style w:type="character" w:customStyle="1" w:styleId="MainTitleChar">
    <w:name w:val="MainTitle Char"/>
    <w:basedOn w:val="DefaultParagraphFont"/>
    <w:link w:val="MainTitle"/>
    <w:rsid w:val="00571E43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6F0B50"/>
    <w:rPr>
      <w:rFonts w:ascii="Arial" w:eastAsia="Times New Roman" w:hAnsi="Arial" w:cs="Times New Roman"/>
      <w:b/>
      <w:iCs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1E43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C3E88"/>
    <w:rPr>
      <w:color w:val="0563C1" w:themeColor="hyperlink"/>
      <w:u w:val="none"/>
    </w:rPr>
  </w:style>
  <w:style w:type="character" w:styleId="Strong">
    <w:name w:val="Strong"/>
    <w:basedOn w:val="DefaultParagraphFont"/>
    <w:uiPriority w:val="22"/>
    <w:qFormat/>
    <w:rsid w:val="009166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4A5C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9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cessible.canada.ca/creating-accessibility-standards/technical-committee-employ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laws-lois.justice.gc.ca/eng/acts/A-0.6/" TargetMode="External"/><Relationship Id="rId4" Type="http://schemas.openxmlformats.org/officeDocument/2006/relationships/styles" Target="styles.xml"/><Relationship Id="rId9" Type="http://schemas.openxmlformats.org/officeDocument/2006/relationships/hyperlink" Target="https://accessible.canada.ca/creating-accessibility-standards/technical-committee-employme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981E1E-94AF-A44A-BA13-5FC9BB854E6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8F367A32B647BE67746D0B9FEF56" ma:contentTypeVersion="18" ma:contentTypeDescription="Create a new document." ma:contentTypeScope="" ma:versionID="7b7c15ca8512f1c4dfc01867ea99168e">
  <xsd:schema xmlns:xsd="http://www.w3.org/2001/XMLSchema" xmlns:xs="http://www.w3.org/2001/XMLSchema" xmlns:p="http://schemas.microsoft.com/office/2006/metadata/properties" xmlns:ns2="9031431c-3420-42a6-b0d8-cb30663ae91a" xmlns:ns3="fab566b1-c182-440d-bdd5-3f30a76c0028" targetNamespace="http://schemas.microsoft.com/office/2006/metadata/properties" ma:root="true" ma:fieldsID="c44ab05da4d1e0ea8fd8dfb2859feae9" ns2:_="" ns3:_="">
    <xsd:import namespace="9031431c-3420-42a6-b0d8-cb30663ae91a"/>
    <xsd:import namespace="fab566b1-c182-440d-bdd5-3f30a76c0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431c-3420-42a6-b0d8-cb30663ae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bcf63e-a3c9-4152-9824-bd26333d2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66b1-c182-440d-bdd5-3f30a76c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e9d7e7-985b-4fb5-b590-e5f72b9630da}" ma:internalName="TaxCatchAll" ma:showField="CatchAllData" ma:web="fab566b1-c182-440d-bdd5-3f30a76c0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089-DAB7-4A5D-B999-7E1898454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7487A-B1E4-4C33-8392-BB76CCE4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1431c-3420-42a6-b0d8-cb30663ae91a"/>
    <ds:schemaRef ds:uri="fab566b1-c182-440d-bdd5-3f30a76c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3614</Characters>
  <Application>Microsoft Office Word</Application>
  <DocSecurity>8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4239</CharactersWithSpaces>
  <SharedDoc>false</SharedDoc>
  <HLinks>
    <vt:vector size="24" baseType="variant">
      <vt:variant>
        <vt:i4>4522008</vt:i4>
      </vt:variant>
      <vt:variant>
        <vt:i4>9</vt:i4>
      </vt:variant>
      <vt:variant>
        <vt:i4>0</vt:i4>
      </vt:variant>
      <vt:variant>
        <vt:i4>5</vt:i4>
      </vt:variant>
      <vt:variant>
        <vt:lpwstr>https://accessible.canada.ca/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https://accessible.canada.ca/creating-accessibility-standards/technical-committee-employment</vt:lpwstr>
      </vt:variant>
      <vt:variant>
        <vt:lpwstr>s3</vt:lpwstr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https://accessible.canada.ca/about-us</vt:lpwstr>
      </vt:variant>
      <vt:variant>
        <vt:lpwstr>s1</vt:lpwstr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https://laws-lois.justice.gc.ca/eng/acts/A-0.6/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Redekop, Quinn QA [NC]</cp:lastModifiedBy>
  <cp:revision>4</cp:revision>
  <dcterms:created xsi:type="dcterms:W3CDTF">2023-07-05T14:16:00Z</dcterms:created>
  <dcterms:modified xsi:type="dcterms:W3CDTF">2023-07-07T20:16:00Z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documentId_506</vt:lpwstr>
  </property>
  <property fmtid="{D5CDD505-2E9C-101B-9397-08002B2CF9AE}" pid="3" name="grammarly_documentContext">
    <vt:lpwstr>{"goals":[],"domain":"general","emotions":[],"dialect":"canadian"}</vt:lpwstr>
  </property>
</Properties>
</file>